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0"/>
        </w:tabs>
        <w:rPr>
          <w:rFonts w:hint="eastAsia" w:ascii="黑体" w:hAnsi="黑体" w:eastAsia="黑体" w:cs="黑体"/>
          <w:color w:val="000000" w:themeColor="text1"/>
          <w:sz w:val="32"/>
          <w:szCs w:val="32"/>
          <w:lang w:val="en-US" w:eastAsia="zh-CN"/>
          <w14:textFill>
            <w14:solidFill>
              <w14:schemeClr w14:val="tx1"/>
            </w14:solidFill>
          </w14:textFill>
        </w:rPr>
      </w:pPr>
      <w:bookmarkStart w:id="0" w:name="_Hlk27571921"/>
      <w:r>
        <w:rPr>
          <w:rFonts w:hint="eastAsia" w:ascii="黑体" w:hAnsi="黑体" w:eastAsia="黑体" w:cs="黑体"/>
          <w:color w:val="000000" w:themeColor="text1"/>
          <w:sz w:val="32"/>
          <w:szCs w:val="32"/>
          <w:lang w:val="en-US" w:eastAsia="zh-CN"/>
          <w14:textFill>
            <w14:solidFill>
              <w14:schemeClr w14:val="tx1"/>
            </w14:solidFill>
          </w14:textFill>
        </w:rPr>
        <w:t>附件3</w:t>
      </w: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tabs>
          <w:tab w:val="left" w:pos="50"/>
        </w:tabs>
        <w:rPr>
          <w:rFonts w:ascii="Times New Roman" w:hAnsi="Times New Roman" w:eastAsia="仿宋" w:cs="Times New Roman"/>
          <w:color w:val="000000" w:themeColor="text1"/>
          <w:szCs w:val="21"/>
          <w14:textFill>
            <w14:solidFill>
              <w14:schemeClr w14:val="tx1"/>
            </w14:solidFill>
          </w14:textFill>
        </w:rPr>
      </w:pPr>
    </w:p>
    <w:p>
      <w:pPr>
        <w:rPr>
          <w:rFonts w:ascii="Times New Roman" w:hAnsi="Times New Roman" w:eastAsia="仿宋" w:cs="Times New Roman"/>
          <w:b/>
          <w:bCs/>
          <w:color w:val="000000" w:themeColor="text1"/>
          <w:szCs w:val="21"/>
          <w14:textFill>
            <w14:solidFill>
              <w14:schemeClr w14:val="tx1"/>
            </w14:solidFill>
          </w14:textFill>
        </w:rPr>
      </w:pPr>
    </w:p>
    <w:p>
      <w:pPr>
        <w:rPr>
          <w:rFonts w:ascii="Times New Roman" w:hAnsi="Times New Roman" w:eastAsia="仿宋" w:cs="Times New Roman"/>
          <w:b/>
          <w:bCs/>
          <w:color w:val="000000" w:themeColor="text1"/>
          <w:szCs w:val="21"/>
          <w14:textFill>
            <w14:solidFill>
              <w14:schemeClr w14:val="tx1"/>
            </w14:solidFill>
          </w14:textFill>
        </w:rPr>
      </w:pPr>
    </w:p>
    <w:p>
      <w:pPr>
        <w:rPr>
          <w:rFonts w:ascii="Times New Roman" w:hAnsi="Times New Roman" w:eastAsia="仿宋" w:cs="Times New Roman"/>
          <w:b/>
          <w:bCs/>
          <w:color w:val="000000" w:themeColor="text1"/>
          <w:szCs w:val="21"/>
          <w14:textFill>
            <w14:solidFill>
              <w14:schemeClr w14:val="tx1"/>
            </w14:solidFill>
          </w14:textFill>
        </w:rPr>
      </w:pPr>
    </w:p>
    <w:p>
      <w:pPr>
        <w:rPr>
          <w:rFonts w:ascii="Times New Roman" w:hAnsi="Times New Roman" w:eastAsia="仿宋" w:cs="Times New Roman"/>
          <w:b/>
          <w:bCs/>
          <w:color w:val="000000" w:themeColor="text1"/>
          <w:szCs w:val="21"/>
          <w14:textFill>
            <w14:solidFill>
              <w14:schemeClr w14:val="tx1"/>
            </w14:solidFill>
          </w14:textFill>
        </w:rPr>
      </w:pPr>
    </w:p>
    <w:p>
      <w:pPr>
        <w:rPr>
          <w:rFonts w:ascii="Times New Roman" w:hAnsi="Times New Roman" w:eastAsia="仿宋" w:cs="Times New Roman"/>
          <w:b/>
          <w:bCs/>
          <w:color w:val="000000" w:themeColor="text1"/>
          <w:szCs w:val="21"/>
          <w14:textFill>
            <w14:solidFill>
              <w14:schemeClr w14:val="tx1"/>
            </w14:solidFill>
          </w14:textFill>
        </w:rPr>
      </w:pPr>
    </w:p>
    <w:p>
      <w:pPr>
        <w:pStyle w:val="40"/>
        <w:rPr>
          <w:rFonts w:ascii="Times New Roman" w:hAnsi="Times New Roman" w:cs="Times New Roman"/>
          <w:color w:val="000000" w:themeColor="text1"/>
          <w14:textFill>
            <w14:solidFill>
              <w14:schemeClr w14:val="tx1"/>
            </w14:solidFill>
          </w14:textFill>
        </w:rPr>
      </w:pPr>
      <w:bookmarkStart w:id="1" w:name="_Toc151914037"/>
      <w:r>
        <w:rPr>
          <w:rFonts w:ascii="Times New Roman" w:hAnsi="Times New Roman" w:cs="Times New Roman"/>
          <w:color w:val="000000" w:themeColor="text1"/>
          <w14:textFill>
            <w14:solidFill>
              <w14:schemeClr w14:val="tx1"/>
            </w14:solidFill>
          </w14:textFill>
        </w:rPr>
        <w:t>兰州</w:t>
      </w:r>
      <w:r>
        <w:rPr>
          <w:rFonts w:hint="eastAsia" w:ascii="Times New Roman" w:hAnsi="Times New Roman" w:cs="Times New Roman"/>
          <w:color w:val="000000" w:themeColor="text1"/>
          <w:lang w:val="en-US" w:eastAsia="zh-CN"/>
          <w14:textFill>
            <w14:solidFill>
              <w14:schemeClr w14:val="tx1"/>
            </w14:solidFill>
          </w14:textFill>
        </w:rPr>
        <w:t>新区</w:t>
      </w:r>
      <w:r>
        <w:rPr>
          <w:rFonts w:ascii="Times New Roman" w:hAnsi="Times New Roman" w:cs="Times New Roman"/>
          <w:color w:val="000000" w:themeColor="text1"/>
          <w14:textFill>
            <w14:solidFill>
              <w14:schemeClr w14:val="tx1"/>
            </w14:solidFill>
          </w14:textFill>
        </w:rPr>
        <w:t>生态环境准入清单</w:t>
      </w:r>
      <w:bookmarkEnd w:id="1"/>
    </w:p>
    <w:bookmarkEnd w:id="0"/>
    <w:p>
      <w:pPr>
        <w:rPr>
          <w:rFonts w:ascii="Times New Roman" w:hAnsi="Times New Roman" w:eastAsia="仿宋" w:cs="Times New Roman"/>
          <w:color w:val="000000" w:themeColor="text1"/>
          <w:szCs w:val="21"/>
          <w14:textFill>
            <w14:solidFill>
              <w14:schemeClr w14:val="tx1"/>
            </w14:solidFill>
          </w14:textFill>
        </w:rPr>
      </w:pPr>
    </w:p>
    <w:p>
      <w:pPr>
        <w:widowControl w:val="0"/>
        <w:adjustRightInd/>
        <w:snapToGrid/>
        <w:spacing w:line="600" w:lineRule="auto"/>
        <w:ind w:firstLine="0" w:firstLineChars="0"/>
        <w:jc w:val="center"/>
        <w:rPr>
          <w:rFonts w:hint="eastAsia" w:eastAsia="黑体"/>
          <w:b/>
          <w:bCs/>
          <w:color w:val="000000" w:themeColor="text1"/>
          <w:spacing w:val="20"/>
          <w:kern w:val="10"/>
          <w:sz w:val="44"/>
          <w:szCs w:val="44"/>
          <w:lang w:bidi="ar-SA"/>
          <w14:textFill>
            <w14:solidFill>
              <w14:schemeClr w14:val="tx1"/>
            </w14:solidFill>
          </w14:textFill>
        </w:rPr>
      </w:pPr>
    </w:p>
    <w:p>
      <w:pPr>
        <w:widowControl w:val="0"/>
        <w:adjustRightInd/>
        <w:snapToGrid/>
        <w:spacing w:line="600" w:lineRule="auto"/>
        <w:ind w:firstLine="0" w:firstLineChars="0"/>
        <w:jc w:val="center"/>
        <w:rPr>
          <w:rFonts w:hint="eastAsia" w:eastAsia="黑体"/>
          <w:b/>
          <w:bCs/>
          <w:color w:val="000000" w:themeColor="text1"/>
          <w:spacing w:val="20"/>
          <w:kern w:val="10"/>
          <w:sz w:val="44"/>
          <w:szCs w:val="44"/>
          <w:lang w:bidi="ar-SA"/>
          <w14:textFill>
            <w14:solidFill>
              <w14:schemeClr w14:val="tx1"/>
            </w14:solidFill>
          </w14:textFill>
        </w:rPr>
      </w:pPr>
    </w:p>
    <w:p>
      <w:pPr>
        <w:widowControl w:val="0"/>
        <w:adjustRightInd/>
        <w:snapToGrid/>
        <w:spacing w:line="600" w:lineRule="auto"/>
        <w:ind w:firstLine="0" w:firstLineChars="0"/>
        <w:jc w:val="center"/>
        <w:rPr>
          <w:rFonts w:hint="eastAsia" w:eastAsia="黑体"/>
          <w:b/>
          <w:bCs/>
          <w:color w:val="000000" w:themeColor="text1"/>
          <w:spacing w:val="20"/>
          <w:kern w:val="10"/>
          <w:sz w:val="44"/>
          <w:szCs w:val="44"/>
          <w:lang w:bidi="ar-SA"/>
          <w14:textFill>
            <w14:solidFill>
              <w14:schemeClr w14:val="tx1"/>
            </w14:solidFill>
          </w14:textFill>
        </w:rPr>
      </w:pPr>
    </w:p>
    <w:p>
      <w:pPr>
        <w:widowControl w:val="0"/>
        <w:adjustRightInd/>
        <w:snapToGrid/>
        <w:spacing w:line="600" w:lineRule="auto"/>
        <w:ind w:firstLine="0" w:firstLineChars="0"/>
        <w:jc w:val="center"/>
        <w:rPr>
          <w:rFonts w:hint="eastAsia" w:eastAsia="黑体"/>
          <w:b/>
          <w:bCs/>
          <w:color w:val="000000" w:themeColor="text1"/>
          <w:spacing w:val="20"/>
          <w:kern w:val="10"/>
          <w:sz w:val="44"/>
          <w:szCs w:val="44"/>
          <w:lang w:bidi="ar-SA"/>
          <w14:textFill>
            <w14:solidFill>
              <w14:schemeClr w14:val="tx1"/>
            </w14:solidFill>
          </w14:textFill>
        </w:rPr>
      </w:pPr>
    </w:p>
    <w:p>
      <w:pPr>
        <w:widowControl w:val="0"/>
        <w:adjustRightInd/>
        <w:snapToGrid/>
        <w:spacing w:line="600" w:lineRule="auto"/>
        <w:ind w:firstLine="0" w:firstLineChars="0"/>
        <w:jc w:val="center"/>
        <w:rPr>
          <w:rFonts w:hint="eastAsia" w:eastAsia="黑体"/>
          <w:b/>
          <w:bCs/>
          <w:color w:val="000000" w:themeColor="text1"/>
          <w:spacing w:val="20"/>
          <w:kern w:val="10"/>
          <w:sz w:val="44"/>
          <w:szCs w:val="44"/>
          <w:lang w:bidi="ar-SA"/>
          <w14:textFill>
            <w14:solidFill>
              <w14:schemeClr w14:val="tx1"/>
            </w14:solidFill>
          </w14:textFill>
        </w:rPr>
      </w:pPr>
    </w:p>
    <w:p>
      <w:pPr>
        <w:widowControl w:val="0"/>
        <w:adjustRightInd/>
        <w:snapToGrid/>
        <w:spacing w:line="600" w:lineRule="auto"/>
        <w:ind w:firstLine="0" w:firstLineChars="0"/>
        <w:jc w:val="center"/>
        <w:rPr>
          <w:rFonts w:eastAsia="黑体"/>
          <w:b/>
          <w:bCs/>
          <w:color w:val="000000" w:themeColor="text1"/>
          <w:spacing w:val="20"/>
          <w:kern w:val="10"/>
          <w:sz w:val="44"/>
          <w:szCs w:val="44"/>
          <w:lang w:bidi="ar-SA"/>
          <w14:textFill>
            <w14:solidFill>
              <w14:schemeClr w14:val="tx1"/>
            </w14:solidFill>
          </w14:textFill>
        </w:rPr>
      </w:pPr>
      <w:r>
        <w:rPr>
          <w:rFonts w:hint="eastAsia" w:eastAsia="黑体"/>
          <w:b/>
          <w:bCs/>
          <w:color w:val="000000" w:themeColor="text1"/>
          <w:spacing w:val="20"/>
          <w:kern w:val="10"/>
          <w:sz w:val="44"/>
          <w:szCs w:val="44"/>
          <w:lang w:bidi="ar-SA"/>
          <w14:textFill>
            <w14:solidFill>
              <w14:schemeClr w14:val="tx1"/>
            </w14:solidFill>
          </w14:textFill>
        </w:rPr>
        <w:t>编制单位：</w:t>
      </w:r>
      <w:r>
        <w:rPr>
          <w:rFonts w:eastAsia="黑体"/>
          <w:b/>
          <w:bCs/>
          <w:color w:val="000000" w:themeColor="text1"/>
          <w:spacing w:val="20"/>
          <w:kern w:val="10"/>
          <w:sz w:val="44"/>
          <w:szCs w:val="44"/>
          <w:lang w:bidi="ar-SA"/>
          <w14:textFill>
            <w14:solidFill>
              <w14:schemeClr w14:val="tx1"/>
            </w14:solidFill>
          </w14:textFill>
        </w:rPr>
        <w:t>兰州新区生态环境局</w:t>
      </w:r>
    </w:p>
    <w:p>
      <w:pPr>
        <w:widowControl w:val="0"/>
        <w:adjustRightInd/>
        <w:snapToGrid/>
        <w:spacing w:line="240" w:lineRule="auto"/>
        <w:ind w:firstLine="0" w:firstLineChars="0"/>
        <w:jc w:val="center"/>
        <w:rPr>
          <w:rFonts w:eastAsia="黑体"/>
          <w:color w:val="000000" w:themeColor="text1"/>
          <w:szCs w:val="28"/>
          <w:lang w:bidi="ar-SA"/>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23811" w:h="16838" w:orient="landscape"/>
          <w:pgMar w:top="1803" w:right="1440" w:bottom="1803" w:left="1440" w:header="851" w:footer="992" w:gutter="0"/>
          <w:cols w:space="0" w:num="1"/>
          <w:docGrid w:type="lines" w:linePitch="315" w:charSpace="0"/>
        </w:sectPr>
      </w:pPr>
      <w:r>
        <w:rPr>
          <w:rFonts w:eastAsia="黑体"/>
          <w:b/>
          <w:bCs/>
          <w:color w:val="000000" w:themeColor="text1"/>
          <w:spacing w:val="20"/>
          <w:kern w:val="10"/>
          <w:sz w:val="44"/>
          <w:szCs w:val="44"/>
          <w:lang w:bidi="ar-SA"/>
          <w14:textFill>
            <w14:solidFill>
              <w14:schemeClr w14:val="tx1"/>
            </w14:solidFill>
          </w14:textFill>
        </w:rPr>
        <w:t>二〇二</w:t>
      </w:r>
      <w:r>
        <w:rPr>
          <w:rFonts w:hint="eastAsia" w:eastAsia="黑体"/>
          <w:b/>
          <w:bCs/>
          <w:color w:val="000000" w:themeColor="text1"/>
          <w:spacing w:val="20"/>
          <w:kern w:val="10"/>
          <w:sz w:val="44"/>
          <w:szCs w:val="44"/>
          <w:lang w:val="en-US" w:eastAsia="zh-CN" w:bidi="ar-SA"/>
          <w14:textFill>
            <w14:solidFill>
              <w14:schemeClr w14:val="tx1"/>
            </w14:solidFill>
          </w14:textFill>
        </w:rPr>
        <w:t>四</w:t>
      </w:r>
      <w:r>
        <w:rPr>
          <w:rFonts w:eastAsia="黑体"/>
          <w:b/>
          <w:bCs/>
          <w:color w:val="000000" w:themeColor="text1"/>
          <w:spacing w:val="20"/>
          <w:kern w:val="10"/>
          <w:sz w:val="44"/>
          <w:szCs w:val="44"/>
          <w:lang w:bidi="ar-SA"/>
          <w14:textFill>
            <w14:solidFill>
              <w14:schemeClr w14:val="tx1"/>
            </w14:solidFill>
          </w14:textFill>
        </w:rPr>
        <w:t>年</w:t>
      </w:r>
      <w:r>
        <w:rPr>
          <w:rFonts w:hint="eastAsia" w:eastAsia="黑体"/>
          <w:b/>
          <w:bCs/>
          <w:color w:val="000000" w:themeColor="text1"/>
          <w:spacing w:val="20"/>
          <w:kern w:val="10"/>
          <w:sz w:val="44"/>
          <w:szCs w:val="44"/>
          <w:lang w:val="en-US" w:eastAsia="zh-CN" w:bidi="ar-SA"/>
          <w14:textFill>
            <w14:solidFill>
              <w14:schemeClr w14:val="tx1"/>
            </w14:solidFill>
          </w14:textFill>
        </w:rPr>
        <w:t>六</w:t>
      </w:r>
      <w:r>
        <w:rPr>
          <w:rFonts w:eastAsia="黑体"/>
          <w:b/>
          <w:bCs/>
          <w:color w:val="000000" w:themeColor="text1"/>
          <w:spacing w:val="20"/>
          <w:kern w:val="10"/>
          <w:sz w:val="44"/>
          <w:szCs w:val="44"/>
          <w:lang w:bidi="ar-SA"/>
          <w14:textFill>
            <w14:solidFill>
              <w14:schemeClr w14:val="tx1"/>
            </w14:solidFill>
          </w14:textFill>
        </w:rPr>
        <w:t>月</w:t>
      </w:r>
    </w:p>
    <w:p>
      <w:pPr>
        <w:pStyle w:val="139"/>
        <w:keepNext w:val="0"/>
        <w:keepLines w:val="0"/>
        <w:widowControl w:val="0"/>
        <w:ind w:firstLine="560"/>
        <w:jc w:val="center"/>
        <w:rPr>
          <w:rFonts w:ascii="Times New Roman" w:hAnsi="Times New Roman" w:eastAsia="仿宋"/>
          <w:b/>
          <w:color w:val="000000" w:themeColor="text1"/>
          <w:sz w:val="48"/>
          <w:lang w:val="zh-CN"/>
          <w14:textFill>
            <w14:solidFill>
              <w14:schemeClr w14:val="tx1"/>
            </w14:solidFill>
          </w14:textFill>
        </w:rPr>
      </w:pPr>
      <w:bookmarkStart w:id="2" w:name="_Toc23850"/>
      <w:bookmarkStart w:id="3" w:name="_Toc15097"/>
      <w:bookmarkStart w:id="4" w:name="_Toc17738"/>
      <w:r>
        <w:rPr>
          <w:rFonts w:ascii="Times New Roman" w:hAnsi="Times New Roman" w:eastAsia="仿宋"/>
          <w:b/>
          <w:color w:val="000000" w:themeColor="text1"/>
          <w:sz w:val="48"/>
          <w:lang w:val="zh-CN"/>
          <w14:textFill>
            <w14:solidFill>
              <w14:schemeClr w14:val="tx1"/>
            </w14:solidFill>
          </w14:textFill>
        </w:rPr>
        <w:t>目  录</w:t>
      </w:r>
      <w:bookmarkEnd w:id="2"/>
      <w:bookmarkEnd w:id="3"/>
      <w:bookmarkEnd w:id="4"/>
    </w:p>
    <w:p>
      <w:pPr>
        <w:pStyle w:val="25"/>
        <w:tabs>
          <w:tab w:val="right" w:leader="dot" w:pos="20867"/>
        </w:tabs>
        <w:rPr>
          <w:rFonts w:ascii="仿宋" w:hAnsi="仿宋" w:eastAsia="仿宋" w:cstheme="minorBidi"/>
          <w:b/>
          <w:bCs/>
          <w:kern w:val="2"/>
          <w:sz w:val="24"/>
          <w:szCs w:val="24"/>
        </w:rPr>
      </w:pPr>
      <w:r>
        <w:rPr>
          <w:rStyle w:val="32"/>
          <w:rFonts w:ascii="仿宋" w:hAnsi="仿宋" w:eastAsia="仿宋"/>
          <w:b/>
          <w:color w:val="000000" w:themeColor="text1"/>
          <w:sz w:val="28"/>
          <w:szCs w:val="28"/>
          <w14:textFill>
            <w14:solidFill>
              <w14:schemeClr w14:val="tx1"/>
            </w14:solidFill>
          </w14:textFill>
        </w:rPr>
        <w:fldChar w:fldCharType="begin"/>
      </w:r>
      <w:r>
        <w:rPr>
          <w:rStyle w:val="32"/>
          <w:rFonts w:ascii="仿宋" w:hAnsi="仿宋" w:eastAsia="仿宋"/>
          <w:b/>
          <w:color w:val="000000" w:themeColor="text1"/>
          <w:sz w:val="28"/>
          <w:szCs w:val="28"/>
          <w14:textFill>
            <w14:solidFill>
              <w14:schemeClr w14:val="tx1"/>
            </w14:solidFill>
          </w14:textFill>
        </w:rPr>
        <w:instrText xml:space="preserve">TOC \o "1-3" \h \u </w:instrText>
      </w:r>
      <w:r>
        <w:rPr>
          <w:rStyle w:val="32"/>
          <w:rFonts w:ascii="仿宋" w:hAnsi="仿宋" w:eastAsia="仿宋"/>
          <w:b/>
          <w:color w:val="000000" w:themeColor="text1"/>
          <w:sz w:val="28"/>
          <w:szCs w:val="28"/>
          <w14:textFill>
            <w14:solidFill>
              <w14:schemeClr w14:val="tx1"/>
            </w14:solidFill>
          </w14:textFill>
        </w:rPr>
        <w:fldChar w:fldCharType="separate"/>
      </w:r>
    </w:p>
    <w:p>
      <w:pPr>
        <w:pStyle w:val="25"/>
        <w:tabs>
          <w:tab w:val="right" w:leader="dot" w:pos="20867"/>
        </w:tabs>
        <w:rPr>
          <w:rFonts w:ascii="仿宋" w:hAnsi="仿宋" w:eastAsia="仿宋" w:cstheme="minorBidi"/>
          <w:b/>
          <w:bCs/>
          <w:kern w:val="2"/>
          <w:sz w:val="24"/>
          <w:szCs w:val="24"/>
        </w:rPr>
      </w:pPr>
      <w:r>
        <w:fldChar w:fldCharType="begin"/>
      </w:r>
      <w:r>
        <w:instrText xml:space="preserve"> HYPERLINK \l "_Toc88229921" </w:instrText>
      </w:r>
      <w:r>
        <w:fldChar w:fldCharType="separate"/>
      </w:r>
      <w:r>
        <w:rPr>
          <w:rStyle w:val="32"/>
          <w:rFonts w:ascii="仿宋" w:hAnsi="仿宋" w:eastAsia="仿宋"/>
          <w:b/>
          <w:bCs/>
          <w:sz w:val="24"/>
          <w:szCs w:val="24"/>
          <w:lang w:bidi="en-US"/>
        </w:rPr>
        <w:t>表</w:t>
      </w:r>
      <w:r>
        <w:rPr>
          <w:rStyle w:val="32"/>
          <w:rFonts w:hint="eastAsia" w:ascii="仿宋" w:hAnsi="仿宋" w:eastAsia="仿宋"/>
          <w:b/>
          <w:bCs/>
          <w:sz w:val="24"/>
          <w:szCs w:val="24"/>
          <w:lang w:val="en-US" w:eastAsia="zh-CN" w:bidi="en-US"/>
        </w:rPr>
        <w:t>1</w:t>
      </w:r>
      <w:r>
        <w:rPr>
          <w:rStyle w:val="32"/>
          <w:rFonts w:ascii="仿宋" w:hAnsi="仿宋" w:eastAsia="仿宋"/>
          <w:b/>
          <w:bCs/>
          <w:sz w:val="24"/>
          <w:szCs w:val="24"/>
          <w:lang w:bidi="en-US"/>
        </w:rPr>
        <w:t xml:space="preserve">  兰州新区生态环境总体准入清单</w:t>
      </w:r>
      <w:r>
        <w:rPr>
          <w:rFonts w:ascii="仿宋" w:hAnsi="仿宋" w:eastAsia="仿宋"/>
          <w:b/>
          <w:bCs/>
          <w:sz w:val="24"/>
          <w:szCs w:val="24"/>
        </w:rPr>
        <w:tab/>
      </w:r>
      <w:r>
        <w:rPr>
          <w:rFonts w:hint="eastAsia" w:ascii="仿宋" w:hAnsi="仿宋" w:eastAsia="仿宋"/>
          <w:b/>
          <w:bCs/>
          <w:sz w:val="24"/>
          <w:szCs w:val="24"/>
          <w:lang w:val="en-US" w:eastAsia="zh-CN"/>
        </w:rPr>
        <w:t>1</w:t>
      </w:r>
      <w:r>
        <w:rPr>
          <w:rFonts w:ascii="仿宋" w:hAnsi="仿宋" w:eastAsia="仿宋"/>
          <w:b/>
          <w:bCs/>
          <w:sz w:val="24"/>
          <w:szCs w:val="24"/>
        </w:rPr>
        <w:fldChar w:fldCharType="end"/>
      </w:r>
    </w:p>
    <w:p>
      <w:pPr>
        <w:pStyle w:val="25"/>
        <w:tabs>
          <w:tab w:val="right" w:leader="dot" w:pos="20867"/>
        </w:tabs>
        <w:rPr>
          <w:rFonts w:ascii="仿宋" w:hAnsi="仿宋" w:eastAsia="仿宋" w:cstheme="minorBidi"/>
          <w:b/>
          <w:bCs/>
          <w:kern w:val="2"/>
          <w:sz w:val="24"/>
          <w:szCs w:val="24"/>
        </w:rPr>
      </w:pPr>
      <w:r>
        <w:fldChar w:fldCharType="begin"/>
      </w:r>
      <w:r>
        <w:instrText xml:space="preserve"> HYPERLINK \l "_Toc88229922" </w:instrText>
      </w:r>
      <w:r>
        <w:fldChar w:fldCharType="separate"/>
      </w:r>
      <w:r>
        <w:rPr>
          <w:rStyle w:val="32"/>
          <w:rFonts w:ascii="仿宋" w:hAnsi="仿宋" w:eastAsia="仿宋"/>
          <w:b/>
          <w:bCs/>
          <w:sz w:val="24"/>
          <w:szCs w:val="24"/>
          <w:lang w:bidi="en-US"/>
        </w:rPr>
        <w:t>表</w:t>
      </w:r>
      <w:r>
        <w:rPr>
          <w:rStyle w:val="32"/>
          <w:rFonts w:hint="eastAsia" w:ascii="仿宋" w:hAnsi="仿宋" w:eastAsia="仿宋"/>
          <w:b/>
          <w:bCs/>
          <w:sz w:val="24"/>
          <w:szCs w:val="24"/>
          <w:lang w:val="en-US" w:eastAsia="zh-CN" w:bidi="en-US"/>
        </w:rPr>
        <w:t>2</w:t>
      </w:r>
      <w:r>
        <w:rPr>
          <w:rStyle w:val="32"/>
          <w:rFonts w:ascii="仿宋" w:hAnsi="仿宋" w:eastAsia="仿宋"/>
          <w:b/>
          <w:bCs/>
          <w:sz w:val="24"/>
          <w:szCs w:val="24"/>
          <w:lang w:bidi="en-US"/>
        </w:rPr>
        <w:t xml:space="preserve">  兰州新区</w:t>
      </w:r>
      <w:r>
        <w:rPr>
          <w:rStyle w:val="32"/>
          <w:rFonts w:hint="eastAsia" w:ascii="仿宋" w:hAnsi="仿宋" w:eastAsia="仿宋"/>
          <w:b/>
          <w:bCs/>
          <w:sz w:val="24"/>
          <w:szCs w:val="24"/>
          <w:lang w:eastAsia="zh-CN" w:bidi="en-US"/>
        </w:rPr>
        <w:t>（</w:t>
      </w:r>
      <w:r>
        <w:rPr>
          <w:rStyle w:val="32"/>
          <w:rFonts w:hint="eastAsia" w:ascii="仿宋" w:hAnsi="仿宋" w:eastAsia="仿宋"/>
          <w:b/>
          <w:bCs/>
          <w:sz w:val="24"/>
          <w:szCs w:val="24"/>
          <w:lang w:val="en-US" w:eastAsia="zh-CN" w:bidi="en-US"/>
        </w:rPr>
        <w:t>规划核心区</w:t>
      </w:r>
      <w:r>
        <w:rPr>
          <w:rStyle w:val="32"/>
          <w:rFonts w:hint="eastAsia" w:ascii="仿宋" w:hAnsi="仿宋" w:eastAsia="仿宋"/>
          <w:b/>
          <w:bCs/>
          <w:sz w:val="24"/>
          <w:szCs w:val="24"/>
          <w:lang w:eastAsia="zh-CN" w:bidi="en-US"/>
        </w:rPr>
        <w:t>）</w:t>
      </w:r>
      <w:r>
        <w:rPr>
          <w:rStyle w:val="32"/>
          <w:rFonts w:hint="eastAsia" w:ascii="仿宋" w:hAnsi="仿宋" w:eastAsia="仿宋"/>
          <w:b/>
          <w:bCs/>
          <w:sz w:val="24"/>
          <w:szCs w:val="24"/>
          <w:lang w:val="en-US" w:eastAsia="zh-CN" w:bidi="en-US"/>
        </w:rPr>
        <w:t>生态环境</w:t>
      </w:r>
      <w:r>
        <w:rPr>
          <w:rStyle w:val="32"/>
          <w:rFonts w:ascii="仿宋" w:hAnsi="仿宋" w:eastAsia="仿宋"/>
          <w:b/>
          <w:bCs/>
          <w:sz w:val="24"/>
          <w:szCs w:val="24"/>
          <w:lang w:bidi="en-US"/>
        </w:rPr>
        <w:t>准入清单</w:t>
      </w:r>
      <w:r>
        <w:rPr>
          <w:rFonts w:ascii="仿宋" w:hAnsi="仿宋" w:eastAsia="仿宋"/>
          <w:b/>
          <w:bCs/>
          <w:sz w:val="24"/>
          <w:szCs w:val="24"/>
        </w:rPr>
        <w:tab/>
      </w:r>
      <w:r>
        <w:rPr>
          <w:rFonts w:hint="eastAsia" w:ascii="仿宋" w:hAnsi="仿宋" w:eastAsia="仿宋"/>
          <w:b/>
          <w:bCs/>
          <w:sz w:val="24"/>
          <w:szCs w:val="24"/>
          <w:lang w:val="en-US" w:eastAsia="zh-CN"/>
        </w:rPr>
        <w:t>4</w:t>
      </w:r>
      <w:r>
        <w:rPr>
          <w:rFonts w:ascii="仿宋" w:hAnsi="仿宋" w:eastAsia="仿宋"/>
          <w:b/>
          <w:bCs/>
          <w:sz w:val="24"/>
          <w:szCs w:val="24"/>
        </w:rPr>
        <w:fldChar w:fldCharType="end"/>
      </w:r>
    </w:p>
    <w:p>
      <w:pPr>
        <w:pStyle w:val="25"/>
        <w:tabs>
          <w:tab w:val="right" w:leader="dot" w:pos="20867"/>
        </w:tabs>
        <w:rPr>
          <w:rFonts w:ascii="仿宋" w:hAnsi="仿宋" w:eastAsia="仿宋" w:cstheme="minorBidi"/>
          <w:b/>
          <w:bCs/>
          <w:kern w:val="2"/>
          <w:sz w:val="24"/>
          <w:szCs w:val="24"/>
        </w:rPr>
      </w:pPr>
      <w:r>
        <w:fldChar w:fldCharType="begin"/>
      </w:r>
      <w:r>
        <w:instrText xml:space="preserve"> HYPERLINK \l "_Toc88229923" </w:instrText>
      </w:r>
      <w:r>
        <w:fldChar w:fldCharType="separate"/>
      </w:r>
      <w:r>
        <w:rPr>
          <w:rStyle w:val="32"/>
          <w:rFonts w:ascii="仿宋" w:hAnsi="仿宋" w:eastAsia="仿宋"/>
          <w:b/>
          <w:bCs/>
          <w:sz w:val="24"/>
          <w:szCs w:val="24"/>
          <w:lang w:bidi="en-US"/>
        </w:rPr>
        <w:t>表</w:t>
      </w:r>
      <w:r>
        <w:rPr>
          <w:rStyle w:val="32"/>
          <w:rFonts w:hint="eastAsia" w:ascii="仿宋" w:hAnsi="仿宋" w:eastAsia="仿宋"/>
          <w:b/>
          <w:bCs/>
          <w:sz w:val="24"/>
          <w:szCs w:val="24"/>
          <w:lang w:val="en-US" w:eastAsia="zh-CN" w:bidi="en-US"/>
        </w:rPr>
        <w:t>3</w:t>
      </w:r>
      <w:r>
        <w:rPr>
          <w:rStyle w:val="32"/>
          <w:rFonts w:ascii="仿宋" w:hAnsi="仿宋" w:eastAsia="仿宋"/>
          <w:b/>
          <w:bCs/>
          <w:sz w:val="24"/>
          <w:szCs w:val="24"/>
          <w:lang w:bidi="en-US"/>
        </w:rPr>
        <w:t xml:space="preserve">  兰州新区</w:t>
      </w:r>
      <w:r>
        <w:rPr>
          <w:rStyle w:val="32"/>
          <w:rFonts w:hint="eastAsia" w:ascii="仿宋" w:hAnsi="仿宋" w:eastAsia="仿宋"/>
          <w:b/>
          <w:bCs/>
          <w:sz w:val="24"/>
          <w:szCs w:val="24"/>
          <w:lang w:eastAsia="zh-CN" w:bidi="en-US"/>
        </w:rPr>
        <w:t>（</w:t>
      </w:r>
      <w:r>
        <w:rPr>
          <w:rStyle w:val="32"/>
          <w:rFonts w:hint="eastAsia" w:ascii="仿宋" w:hAnsi="仿宋" w:eastAsia="仿宋"/>
          <w:b/>
          <w:bCs/>
          <w:sz w:val="24"/>
          <w:szCs w:val="24"/>
          <w:lang w:val="en-US" w:eastAsia="zh-CN" w:bidi="en-US"/>
        </w:rPr>
        <w:t>规划协调区</w:t>
      </w:r>
      <w:r>
        <w:rPr>
          <w:rStyle w:val="32"/>
          <w:rFonts w:hint="eastAsia" w:ascii="仿宋" w:hAnsi="仿宋" w:eastAsia="仿宋"/>
          <w:b/>
          <w:bCs/>
          <w:sz w:val="24"/>
          <w:szCs w:val="24"/>
          <w:lang w:eastAsia="zh-CN" w:bidi="en-US"/>
        </w:rPr>
        <w:t>）</w:t>
      </w:r>
      <w:r>
        <w:rPr>
          <w:rStyle w:val="32"/>
          <w:rFonts w:ascii="仿宋" w:hAnsi="仿宋" w:eastAsia="仿宋"/>
          <w:b/>
          <w:bCs/>
          <w:sz w:val="24"/>
          <w:szCs w:val="24"/>
          <w:lang w:bidi="en-US"/>
        </w:rPr>
        <w:t>生态环境准入清单</w:t>
      </w:r>
      <w:r>
        <w:rPr>
          <w:rFonts w:ascii="仿宋" w:hAnsi="仿宋" w:eastAsia="仿宋"/>
          <w:b/>
          <w:bCs/>
          <w:sz w:val="24"/>
          <w:szCs w:val="24"/>
        </w:rPr>
        <w:tab/>
      </w:r>
      <w:r>
        <w:rPr>
          <w:rFonts w:hint="eastAsia" w:ascii="仿宋" w:hAnsi="仿宋" w:eastAsia="仿宋"/>
          <w:b/>
          <w:bCs/>
          <w:sz w:val="24"/>
          <w:szCs w:val="24"/>
          <w:lang w:val="en-US" w:eastAsia="zh-CN"/>
        </w:rPr>
        <w:t>7</w:t>
      </w:r>
      <w:r>
        <w:rPr>
          <w:rFonts w:ascii="仿宋" w:hAnsi="仿宋" w:eastAsia="仿宋"/>
          <w:b/>
          <w:bCs/>
          <w:sz w:val="24"/>
          <w:szCs w:val="24"/>
        </w:rPr>
        <w:fldChar w:fldCharType="end"/>
      </w:r>
    </w:p>
    <w:p>
      <w:pPr>
        <w:rPr>
          <w:rFonts w:ascii="Times New Roman" w:hAnsi="Times New Roman" w:cs="Times New Roman"/>
          <w:color w:val="000000" w:themeColor="text1"/>
          <w14:textFill>
            <w14:solidFill>
              <w14:schemeClr w14:val="tx1"/>
            </w14:solidFill>
          </w14:textFill>
        </w:rPr>
      </w:pPr>
      <w:r>
        <w:rPr>
          <w:rStyle w:val="32"/>
          <w:rFonts w:ascii="仿宋" w:hAnsi="仿宋" w:eastAsia="仿宋"/>
          <w:b/>
          <w:color w:val="000000" w:themeColor="text1"/>
          <w:sz w:val="28"/>
          <w:szCs w:val="28"/>
          <w14:textFill>
            <w14:solidFill>
              <w14:schemeClr w14:val="tx1"/>
            </w14:solidFill>
          </w14:textFill>
        </w:rPr>
        <w:fldChar w:fldCharType="end"/>
      </w:r>
    </w:p>
    <w:p>
      <w:pPr>
        <w:tabs>
          <w:tab w:val="left" w:pos="50"/>
        </w:tabs>
        <w:spacing w:before="312" w:beforeLines="100" w:line="720" w:lineRule="auto"/>
        <w:jc w:val="center"/>
        <w:rPr>
          <w:rFonts w:ascii="Times New Roman" w:hAnsi="Times New Roman" w:eastAsia="仿宋" w:cs="Times New Roman"/>
          <w:b/>
          <w:color w:val="000000" w:themeColor="text1"/>
          <w:szCs w:val="21"/>
          <w14:textFill>
            <w14:solidFill>
              <w14:schemeClr w14:val="tx1"/>
            </w14:solidFill>
          </w14:textFill>
        </w:rPr>
        <w:sectPr>
          <w:footerReference r:id="rId9" w:type="default"/>
          <w:pgSz w:w="23814" w:h="16840" w:orient="landscape"/>
          <w:pgMar w:top="1080" w:right="1440" w:bottom="1080" w:left="1440" w:header="851" w:footer="992" w:gutter="0"/>
          <w:pgNumType w:start="1"/>
          <w:cols w:space="425" w:num="1"/>
          <w:docGrid w:type="lines" w:linePitch="312" w:charSpace="0"/>
        </w:sectPr>
      </w:pPr>
    </w:p>
    <w:p>
      <w:pPr>
        <w:pStyle w:val="42"/>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bookmarkStart w:id="5" w:name="_Toc151914041"/>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表1  兰州新区</w:t>
      </w:r>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生态环境</w:t>
      </w: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总体准入</w:t>
      </w:r>
      <w:bookmarkEnd w:id="5"/>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清单</w:t>
      </w:r>
    </w:p>
    <w:tbl>
      <w:tblPr>
        <w:tblStyle w:val="34"/>
        <w:tblW w:w="211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1286"/>
        <w:gridCol w:w="1146"/>
        <w:gridCol w:w="11895"/>
        <w:gridCol w:w="5226"/>
        <w:gridCol w:w="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1573" w:type="dxa"/>
            <w:vAlign w:val="center"/>
          </w:tcPr>
          <w:p>
            <w:pPr>
              <w:adjustRightInd w:val="0"/>
              <w:snapToGrid w:val="0"/>
              <w:jc w:val="center"/>
              <w:rPr>
                <w:rFonts w:hint="eastAsia" w:ascii="仿宋_GB2312" w:hAnsi="仿宋_GB2312" w:eastAsia="仿宋_GB2312" w:cs="仿宋_GB2312"/>
                <w:b/>
                <w:bCs/>
                <w:color w:val="000000"/>
                <w:szCs w:val="21"/>
                <w:lang w:bidi="en-US"/>
              </w:rPr>
            </w:pPr>
            <w:r>
              <w:rPr>
                <w:rFonts w:hint="eastAsia" w:ascii="仿宋_GB2312" w:hAnsi="仿宋_GB2312" w:eastAsia="仿宋_GB2312" w:cs="仿宋_GB2312"/>
                <w:b/>
                <w:bCs/>
                <w:color w:val="000000"/>
                <w:szCs w:val="21"/>
                <w:lang w:bidi="en-US"/>
              </w:rPr>
              <w:t>管控单元类别</w:t>
            </w:r>
          </w:p>
        </w:tc>
        <w:tc>
          <w:tcPr>
            <w:tcW w:w="1286" w:type="dxa"/>
            <w:vAlign w:val="center"/>
          </w:tcPr>
          <w:p>
            <w:pPr>
              <w:adjustRightInd w:val="0"/>
              <w:snapToGrid w:val="0"/>
              <w:jc w:val="center"/>
              <w:rPr>
                <w:rFonts w:hint="eastAsia" w:ascii="仿宋_GB2312" w:hAnsi="仿宋_GB2312" w:eastAsia="仿宋_GB2312" w:cs="仿宋_GB2312"/>
                <w:b/>
                <w:bCs/>
                <w:color w:val="000000"/>
                <w:szCs w:val="21"/>
                <w:lang w:bidi="en-US"/>
              </w:rPr>
            </w:pPr>
            <w:r>
              <w:rPr>
                <w:rFonts w:hint="eastAsia" w:ascii="仿宋_GB2312" w:hAnsi="仿宋_GB2312" w:eastAsia="仿宋_GB2312" w:cs="仿宋_GB2312"/>
                <w:b/>
                <w:bCs/>
                <w:color w:val="000000"/>
                <w:szCs w:val="21"/>
                <w:lang w:bidi="en-US"/>
              </w:rPr>
              <w:t>维度</w:t>
            </w:r>
          </w:p>
        </w:tc>
        <w:tc>
          <w:tcPr>
            <w:tcW w:w="1146" w:type="dxa"/>
            <w:vAlign w:val="center"/>
          </w:tcPr>
          <w:p>
            <w:pPr>
              <w:adjustRightInd w:val="0"/>
              <w:snapToGrid w:val="0"/>
              <w:jc w:val="center"/>
              <w:rPr>
                <w:rFonts w:hint="eastAsia" w:ascii="仿宋_GB2312" w:hAnsi="仿宋_GB2312" w:eastAsia="仿宋_GB2312" w:cs="仿宋_GB2312"/>
                <w:b/>
                <w:bCs/>
                <w:color w:val="000000"/>
                <w:szCs w:val="21"/>
                <w:lang w:bidi="en-US"/>
              </w:rPr>
            </w:pPr>
            <w:r>
              <w:rPr>
                <w:rFonts w:hint="eastAsia" w:ascii="仿宋_GB2312" w:hAnsi="仿宋_GB2312" w:eastAsia="仿宋_GB2312" w:cs="仿宋_GB2312"/>
                <w:b/>
                <w:bCs/>
                <w:color w:val="000000"/>
                <w:szCs w:val="21"/>
                <w:lang w:bidi="en-US"/>
              </w:rPr>
              <w:t>清单编制要求</w:t>
            </w:r>
          </w:p>
        </w:tc>
        <w:tc>
          <w:tcPr>
            <w:tcW w:w="11895" w:type="dxa"/>
            <w:vAlign w:val="center"/>
          </w:tcPr>
          <w:p>
            <w:pPr>
              <w:adjustRightInd w:val="0"/>
              <w:snapToGrid w:val="0"/>
              <w:jc w:val="center"/>
              <w:rPr>
                <w:rFonts w:hint="eastAsia" w:ascii="仿宋_GB2312" w:hAnsi="仿宋_GB2312" w:eastAsia="仿宋_GB2312" w:cs="仿宋_GB2312"/>
                <w:b/>
                <w:bCs/>
                <w:color w:val="000000"/>
                <w:szCs w:val="21"/>
                <w:lang w:bidi="en-US"/>
              </w:rPr>
            </w:pPr>
            <w:r>
              <w:rPr>
                <w:rFonts w:hint="eastAsia" w:ascii="仿宋_GB2312" w:hAnsi="仿宋_GB2312" w:eastAsia="仿宋_GB2312" w:cs="仿宋_GB2312"/>
                <w:b/>
                <w:bCs/>
                <w:color w:val="000000"/>
                <w:szCs w:val="21"/>
                <w:lang w:bidi="en-US"/>
              </w:rPr>
              <w:t>准入要求</w:t>
            </w:r>
          </w:p>
        </w:tc>
        <w:tc>
          <w:tcPr>
            <w:tcW w:w="5250" w:type="dxa"/>
            <w:gridSpan w:val="2"/>
            <w:tcBorders>
              <w:top w:val="single" w:color="auto" w:sz="4" w:space="0"/>
              <w:left w:val="nil"/>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b/>
                <w:bCs/>
                <w:color w:val="000000"/>
                <w:szCs w:val="21"/>
                <w:lang w:bidi="en-US"/>
              </w:rPr>
            </w:pPr>
            <w:r>
              <w:rPr>
                <w:rFonts w:hint="eastAsia" w:ascii="仿宋_GB2312" w:hAnsi="仿宋_GB2312" w:eastAsia="仿宋_GB2312" w:cs="仿宋_GB2312"/>
                <w:b/>
                <w:bCs/>
                <w:szCs w:val="21"/>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5" w:hRule="atLeast"/>
          <w:jc w:val="center"/>
        </w:trPr>
        <w:tc>
          <w:tcPr>
            <w:tcW w:w="1573" w:type="dxa"/>
            <w:vMerge w:val="restart"/>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优先保护</w:t>
            </w:r>
          </w:p>
        </w:tc>
        <w:tc>
          <w:tcPr>
            <w:tcW w:w="1286" w:type="dxa"/>
            <w:vMerge w:val="restart"/>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空间布局</w:t>
            </w:r>
          </w:p>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约束</w:t>
            </w:r>
          </w:p>
        </w:tc>
        <w:tc>
          <w:tcPr>
            <w:tcW w:w="1146" w:type="dxa"/>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禁止开发建设活动的要求</w:t>
            </w:r>
          </w:p>
        </w:tc>
        <w:tc>
          <w:tcPr>
            <w:tcW w:w="1189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rPr>
            </w:pPr>
            <w:r>
              <w:rPr>
                <w:rFonts w:hint="eastAsia" w:ascii="仿宋_GB2312" w:hAnsi="仿宋_GB2312" w:eastAsia="仿宋_GB2312" w:cs="仿宋_GB2312"/>
                <w:b w:val="0"/>
                <w:bCs w:val="0"/>
                <w:color w:val="000000"/>
                <w:szCs w:val="21"/>
              </w:rPr>
              <w:t>1、执行全省及黄河流域（中部沿黄片区）生态环境总体准入清单中优先保护单元禁止类空间布局约束要求。</w:t>
            </w:r>
          </w:p>
          <w:p>
            <w:pPr>
              <w:keepNext w:val="0"/>
              <w:keepLines w:val="0"/>
              <w:pageBreakBefore w:val="0"/>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rPr>
            </w:pPr>
            <w:r>
              <w:rPr>
                <w:rFonts w:hint="eastAsia" w:ascii="仿宋_GB2312" w:hAnsi="仿宋_GB2312" w:eastAsia="仿宋_GB2312" w:cs="仿宋_GB2312"/>
                <w:b w:val="0"/>
                <w:bCs w:val="0"/>
                <w:szCs w:val="21"/>
              </w:rPr>
              <w:t>2、严格遵照中共中央办公厅 国务院办公厅《关于在国土空间规划中统筹划定落实三条控制线的指导意见》《自然资源部 生态环境部 国家林业和草原局关于加强生态保护红线管理的通知（试行）》执行。生态保护红线内自然保护地核心保护区外，禁止开发性、生产性建设活动，在符合法律法规的前提下，仅允许以下对生态功能不造成破坏的有限人为活动。生态保护红线内自然保护区、风景名胜区、饮用水水源保护区等区域，依照法律法规执行。</w:t>
            </w:r>
          </w:p>
          <w:p>
            <w:pPr>
              <w:keepNext w:val="0"/>
              <w:keepLines w:val="0"/>
              <w:pageBreakBefore w:val="0"/>
              <w:kinsoku/>
              <w:wordWrap/>
              <w:overflowPunct/>
              <w:topLinePunct w:val="0"/>
              <w:autoSpaceDE/>
              <w:autoSpaceDN/>
              <w:bidi w:val="0"/>
              <w:spacing w:line="240" w:lineRule="exact"/>
              <w:ind w:left="0" w:leftChars="0" w:right="0" w:rightChars="0" w:firstLine="0" w:firstLineChars="0"/>
              <w:textAlignment w:val="auto"/>
              <w:outlineLvl w:val="9"/>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3、优先保护类农用地、永久基本农田落实《甘肃省“十四五”土壤、地下水和农村生态环境保护规划》《兰州新区“十四五”环境保护与生态建设规划》等政策文件中禁止类要求，落实永久基本农田等空间管控边界，确保质量不下降、面积不减少。</w:t>
            </w:r>
          </w:p>
          <w:p>
            <w:pPr>
              <w:keepNext w:val="0"/>
              <w:keepLines w:val="0"/>
              <w:pageBreakBefore w:val="0"/>
              <w:kinsoku/>
              <w:wordWrap/>
              <w:overflowPunct/>
              <w:topLinePunct w:val="0"/>
              <w:autoSpaceDE/>
              <w:autoSpaceDN/>
              <w:bidi w:val="0"/>
              <w:spacing w:line="240" w:lineRule="exact"/>
              <w:ind w:left="0" w:leftChars="0" w:right="0" w:rightChars="0" w:firstLine="0" w:firstLineChars="0"/>
              <w:textAlignment w:val="auto"/>
              <w:outlineLvl w:val="9"/>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4、落实《甘肃省水土保持条例》禁止类要求，禁止在水土流失严重、生态脆弱区域开展可能造成水土流失的生产建设活动。确因国家发展战略和国计民生需要建设的，应当进行科学论证，并依法办理审批手续。</w:t>
            </w:r>
          </w:p>
        </w:tc>
        <w:tc>
          <w:tcPr>
            <w:tcW w:w="5250" w:type="dxa"/>
            <w:gridSpan w:val="2"/>
            <w:vAlign w:val="center"/>
          </w:tcPr>
          <w:p>
            <w:pPr>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《自然资源部 生态环境部 国家林业和草原局关于加强生态保护红线管理的通知（试行）》（自然资发〔2022〕142号）</w:t>
            </w:r>
          </w:p>
          <w:p>
            <w:pPr>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《甘肃省“十四五”土壤、地下水和农村生态环境保护规划》</w:t>
            </w:r>
          </w:p>
          <w:p>
            <w:pPr>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《兰州新区“十四五”环境保护与生态建设规划》</w:t>
            </w:r>
          </w:p>
          <w:p>
            <w:pPr>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《甘肃省水土保持条例》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9" w:hRule="atLeast"/>
          <w:jc w:val="center"/>
        </w:trPr>
        <w:tc>
          <w:tcPr>
            <w:tcW w:w="1573" w:type="dxa"/>
            <w:vMerge w:val="continue"/>
            <w:vAlign w:val="center"/>
          </w:tcPr>
          <w:p>
            <w:pPr>
              <w:adjustRightInd w:val="0"/>
              <w:snapToGrid w:val="0"/>
              <w:jc w:val="center"/>
              <w:rPr>
                <w:rFonts w:hint="eastAsia" w:ascii="仿宋_GB2312" w:hAnsi="仿宋_GB2312" w:eastAsia="仿宋_GB2312" w:cs="仿宋_GB2312"/>
                <w:b w:val="0"/>
                <w:bCs w:val="0"/>
                <w:color w:val="000000"/>
                <w:szCs w:val="21"/>
                <w:lang w:bidi="en-US"/>
              </w:rPr>
            </w:pPr>
          </w:p>
        </w:tc>
        <w:tc>
          <w:tcPr>
            <w:tcW w:w="1286" w:type="dxa"/>
            <w:vMerge w:val="continue"/>
            <w:vAlign w:val="center"/>
          </w:tcPr>
          <w:p>
            <w:pPr>
              <w:adjustRightInd w:val="0"/>
              <w:snapToGrid w:val="0"/>
              <w:jc w:val="center"/>
              <w:rPr>
                <w:rFonts w:hint="eastAsia" w:ascii="仿宋_GB2312" w:hAnsi="仿宋_GB2312" w:eastAsia="仿宋_GB2312" w:cs="仿宋_GB2312"/>
                <w:b w:val="0"/>
                <w:bCs w:val="0"/>
                <w:color w:val="000000"/>
                <w:szCs w:val="21"/>
                <w:lang w:bidi="en-US"/>
              </w:rPr>
            </w:pPr>
          </w:p>
        </w:tc>
        <w:tc>
          <w:tcPr>
            <w:tcW w:w="1146" w:type="dxa"/>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限制开发建设活动的要求</w:t>
            </w:r>
          </w:p>
        </w:tc>
        <w:tc>
          <w:tcPr>
            <w:tcW w:w="11895" w:type="dxa"/>
            <w:vAlign w:val="center"/>
          </w:tcPr>
          <w:p>
            <w:pPr>
              <w:keepNext w:val="0"/>
              <w:keepLines w:val="0"/>
              <w:pageBreakBefore w:val="0"/>
              <w:kinsoku/>
              <w:wordWrap/>
              <w:overflowPunct/>
              <w:topLinePunct w:val="0"/>
              <w:autoSpaceDE/>
              <w:autoSpaceDN/>
              <w:bidi w:val="0"/>
              <w:adjustRightInd w:val="0"/>
              <w:snapToGrid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1、执行全省及黄河流域（中部沿黄片区）生态环境总体准入清单中优先保护单元限制类空间布局约束要求。</w:t>
            </w:r>
          </w:p>
          <w:p>
            <w:pPr>
              <w:keepNext w:val="0"/>
              <w:keepLines w:val="0"/>
              <w:pageBreakBefore w:val="0"/>
              <w:kinsoku/>
              <w:wordWrap/>
              <w:overflowPunct/>
              <w:topLinePunct w:val="0"/>
              <w:autoSpaceDE/>
              <w:autoSpaceDN/>
              <w:bidi w:val="0"/>
              <w:adjustRightInd w:val="0"/>
              <w:snapToGrid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一般生态空间原则上按照限制开发区域进行管理，一般生态空间内可以因地制宜发展不影响主体功能定位的适宜产业，限制进行大规模高强度工业化城镇化开发，限制有损生态服务功能和进一步加剧生态敏感性的开发建设活动。开发建设活动位于一般生态空间内的各类自然保护地、保护区的，按照国家相关法律、法规、条例及相关管理要求进行管理；功能属性交叉的，按照管控要求严格程度，从严管理；符合区域准入条件的建设项目，涉及占用生态空间中的林地、草原等，按有关法律法规规定办理；涉及占用生态空间中其他未作明确规定的用地，应当加强论证和管理。</w:t>
            </w:r>
          </w:p>
          <w:p>
            <w:pPr>
              <w:keepNext w:val="0"/>
              <w:keepLines w:val="0"/>
              <w:pageBreakBefore w:val="0"/>
              <w:kinsoku/>
              <w:wordWrap/>
              <w:overflowPunct/>
              <w:topLinePunct w:val="0"/>
              <w:autoSpaceDE/>
              <w:autoSpaceDN/>
              <w:bidi w:val="0"/>
              <w:adjustRightInd w:val="0"/>
              <w:snapToGrid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3、严格控制在优先保护类耕地集中区域新建有色金属冶炼、石油加工、化工、焦化、电镀、制革等行业企业，现有相关行业企业要采用新技术、新工艺，加快提标升级改造步伐。</w:t>
            </w:r>
          </w:p>
        </w:tc>
        <w:tc>
          <w:tcPr>
            <w:tcW w:w="5250" w:type="dxa"/>
            <w:gridSpan w:val="2"/>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《甘肃省人民政府关于印发甘肃省土壤污染防治工作方案的通知》（甘政发〔2016〕112号）</w:t>
            </w:r>
          </w:p>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《三线一单编制技术要求》</w:t>
            </w:r>
          </w:p>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《自然生态空间用途管制办法（试行）》（</w:t>
            </w:r>
            <w:r>
              <w:rPr>
                <w:rFonts w:hint="eastAsia" w:ascii="仿宋_GB2312" w:hAnsi="仿宋_GB2312" w:eastAsia="仿宋_GB2312" w:cs="仿宋_GB2312"/>
                <w:b w:val="0"/>
                <w:bCs w:val="0"/>
                <w:color w:val="000000"/>
                <w:szCs w:val="21"/>
                <w:shd w:val="clear" w:color="auto" w:fill="FFFFFF"/>
              </w:rPr>
              <w:t>国土资发〔2017〕33号</w:t>
            </w:r>
            <w:r>
              <w:rPr>
                <w:rFonts w:hint="eastAsia" w:ascii="仿宋_GB2312" w:hAnsi="仿宋_GB2312" w:eastAsia="仿宋_GB2312" w:cs="仿宋_GB2312"/>
                <w:b w:val="0"/>
                <w:bCs w:val="0"/>
                <w:color w:val="000000"/>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7" w:hRule="atLeast"/>
          <w:jc w:val="center"/>
        </w:trPr>
        <w:tc>
          <w:tcPr>
            <w:tcW w:w="1573" w:type="dxa"/>
            <w:vMerge w:val="continue"/>
            <w:vAlign w:val="center"/>
          </w:tcPr>
          <w:p>
            <w:pPr>
              <w:adjustRightInd w:val="0"/>
              <w:snapToGrid w:val="0"/>
              <w:jc w:val="center"/>
              <w:rPr>
                <w:rFonts w:hint="eastAsia" w:ascii="仿宋_GB2312" w:hAnsi="仿宋_GB2312" w:eastAsia="仿宋_GB2312" w:cs="仿宋_GB2312"/>
                <w:b w:val="0"/>
                <w:bCs w:val="0"/>
                <w:color w:val="000000"/>
                <w:szCs w:val="21"/>
                <w:lang w:bidi="en-US"/>
              </w:rPr>
            </w:pPr>
          </w:p>
        </w:tc>
        <w:tc>
          <w:tcPr>
            <w:tcW w:w="1286" w:type="dxa"/>
            <w:vMerge w:val="continue"/>
            <w:vAlign w:val="center"/>
          </w:tcPr>
          <w:p>
            <w:pPr>
              <w:adjustRightInd w:val="0"/>
              <w:snapToGrid w:val="0"/>
              <w:jc w:val="center"/>
              <w:rPr>
                <w:rFonts w:hint="eastAsia" w:ascii="仿宋_GB2312" w:hAnsi="仿宋_GB2312" w:eastAsia="仿宋_GB2312" w:cs="仿宋_GB2312"/>
                <w:b w:val="0"/>
                <w:bCs w:val="0"/>
                <w:color w:val="000000"/>
                <w:szCs w:val="21"/>
                <w:lang w:bidi="en-US"/>
              </w:rPr>
            </w:pPr>
          </w:p>
        </w:tc>
        <w:tc>
          <w:tcPr>
            <w:tcW w:w="1146" w:type="dxa"/>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允许开发建设活动的要求</w:t>
            </w:r>
          </w:p>
        </w:tc>
        <w:tc>
          <w:tcPr>
            <w:tcW w:w="11895" w:type="dxa"/>
            <w:vAlign w:val="center"/>
          </w:tcPr>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1、生态保护红线内自然保护地核心保护区外，禁止开发性、生产性建设活动，在符合法律法规的前提下，仅允许以下对生态功能不造成破坏的有限人为活动。生态保护红线内自然保护区、风景名胜区、饮用水水源保护区等区域，依照法律法规执行。</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①管护巡护、保护执法、科学研究、调查监测、测绘导航、防灾减灾救灾、军事国防、疫情防控等活动及相关的必要设施修筑。</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②原住居民和其他合法权益主体，允许在不扩大现有建设用地、用海用岛、耕地、水产养殖规模和放牧强度（符合草畜平衡管理规定）的前提下，开展种植、放牧、捕捞、养殖（不包括投礁型海洋牧场、围海养殖）等活动，修筑生产生活设施。</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③经依法批准的考古调查发掘、古生物化石调查发掘、标本采集和文物保护活动。</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④按规定对人工商品林进行抚育采伐，或以提升森林质量、优化栖息地、建设生物防火隔离带等为目的的树种更新，依法开展的竹林采伐经营。</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⑤不破坏生态功能的适度参观旅游、科普宣教及符合相关规划的配套性服务设施和相关的必要公共设施建设及维护。</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⑥必须且无法避让、符合县级以上国土空间规划的线性基础设施、通讯和防洪、供水设施建设和船舶航行、航道疏浚清淤等活动；已有的合法水利、交通运输等设施运行维护改造。</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⑦地质调查与矿产资源勘查开采。包括：基础地质调查和战略性矿产资源远景调查等公益性工作；铀矿勘查开采活动，可办理矿业权登记；已依法设立的油气探矿权继续勘查活动，可办理探矿权延续、变更（不含扩大勘查区块范围）、保留、注销，当发现可供开采油气资源并探明储量时，可将开采拟占用的地表或海域范围依照国家相关规定调出生态保护红线；已依法设立的油气采矿权不扩大用地用海范围，继续开采，可办理采矿权延续、变更（不含扩大矿区范围）、注销；已依法设立的矿泉水和地热采矿权，在不超出已经核定的生产规模、不新增生产设施的前提下继续开采，可办理采矿权延续、变更（不含扩大矿区范围）、注销；已依法设立和新立铬、铜、镍、锂、钴、锆、钾盐、（中）重稀土矿等战略性矿产探矿权开展勘查活动，可办理探矿权登记，因国家战略需要开展开采活动的，可办理采矿权登记。上述勘查开采活动，应落实减缓生态环境影响措施，严格执行绿色勘查、开采及矿山环境生态修复相关要求。</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⑧依据县级以上国土空间规划和生态保护修复专项规划开展的生态修复。</w:t>
            </w:r>
          </w:p>
          <w:p>
            <w:pPr>
              <w:keepNext w:val="0"/>
              <w:keepLines w:val="0"/>
              <w:pageBreakBefore w:val="0"/>
              <w:widowControl/>
              <w:shd w:val="clear" w:color="auto" w:fill="FFFFFF"/>
              <w:kinsoku/>
              <w:wordWrap/>
              <w:overflowPunct/>
              <w:topLinePunct w:val="0"/>
              <w:autoSpaceDE/>
              <w:autoSpaceDN/>
              <w:bidi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kern w:val="0"/>
                <w:szCs w:val="21"/>
              </w:rPr>
            </w:pPr>
            <w:r>
              <w:rPr>
                <w:rFonts w:hint="eastAsia" w:ascii="仿宋_GB2312" w:hAnsi="仿宋_GB2312" w:eastAsia="仿宋_GB2312" w:cs="仿宋_GB2312"/>
                <w:b w:val="0"/>
                <w:bCs w:val="0"/>
                <w:kern w:val="0"/>
                <w:szCs w:val="21"/>
              </w:rPr>
              <w:t>⑨根据我国相关法律法规和与邻国签署的国界管理制度协定（条约）开展的边界边境通视道清理以及界务工程的修建、维护和拆除工作。</w:t>
            </w:r>
          </w:p>
          <w:p>
            <w:pPr>
              <w:keepNext w:val="0"/>
              <w:keepLines w:val="0"/>
              <w:pageBreakBefore w:val="0"/>
              <w:kinsoku/>
              <w:wordWrap/>
              <w:overflowPunct/>
              <w:topLinePunct w:val="0"/>
              <w:autoSpaceDE/>
              <w:autoSpaceDN/>
              <w:bidi w:val="0"/>
              <w:spacing w:line="240" w:lineRule="exact"/>
              <w:ind w:left="0" w:leftChars="0" w:right="0" w:rightChars="0" w:firstLine="0" w:firstLineChars="0"/>
              <w:textAlignment w:val="auto"/>
              <w:outlineLvl w:val="9"/>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⑩法律法规规定允许的其他人为活动。</w:t>
            </w:r>
          </w:p>
          <w:p>
            <w:pPr>
              <w:keepNext w:val="0"/>
              <w:keepLines w:val="0"/>
              <w:pageBreakBefore w:val="0"/>
              <w:kinsoku/>
              <w:wordWrap/>
              <w:overflowPunct/>
              <w:topLinePunct w:val="0"/>
              <w:autoSpaceDE/>
              <w:autoSpaceDN/>
              <w:bidi w:val="0"/>
              <w:adjustRightInd w:val="0"/>
              <w:snapToGrid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一般生态空间允许进行以下活动：生态保护修复和环境治理活动；原住民正常生产生活设施建设、修缮和改造；符合法律法规规定的林业活动；国防、军事等特殊用途设施建设、修缮和改造；生态环境保护监测、生态系统保护与修复工程、水土保持工程、公益性的自然资源监测或勘探、以及地质勘查活动；经依法批准的考古调查发掘和文物保护活动；必要的河道、堤防、岸线整治等活动，以及防洪设施和供水设施建设、修缮和改造活动；公路铁路交通、输油输气输电管线等线性工程；公共基础设施建设；观光旅游、休闲农业开发活动；矿产资源勘探。对列入国家和省级规划的重大民生项目、重大基础设施项目，涉及一般生态空间的，应优化空间布局、主动避让；确定无法避让的，应采取无害化方式，依法依规履行手续，强化减缓生态环境影响和生态补偿措施。符合区域准入条件的建设项目，涉及占用生态空间中的林地、草原等，按有关法律法规规定办理；涉及占用生态空间中其他未作明确规定的用地，应当加强论证和管理。</w:t>
            </w:r>
          </w:p>
          <w:p>
            <w:pPr>
              <w:keepNext w:val="0"/>
              <w:keepLines w:val="0"/>
              <w:pageBreakBefore w:val="0"/>
              <w:kinsoku/>
              <w:wordWrap/>
              <w:overflowPunct/>
              <w:topLinePunct w:val="0"/>
              <w:autoSpaceDE/>
              <w:autoSpaceDN/>
              <w:bidi w:val="0"/>
              <w:adjustRightInd w:val="0"/>
              <w:snapToGrid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3、支持兰州新区创建生态修复及水土流失综合治理示范区，开展生态修复及水土综合治理。</w:t>
            </w:r>
          </w:p>
        </w:tc>
        <w:tc>
          <w:tcPr>
            <w:tcW w:w="5250" w:type="dxa"/>
            <w:gridSpan w:val="2"/>
            <w:tcBorders>
              <w:top w:val="single" w:color="auto" w:sz="4" w:space="0"/>
              <w:left w:val="nil"/>
              <w:bottom w:val="single" w:color="auto" w:sz="4" w:space="0"/>
              <w:right w:val="single" w:color="auto" w:sz="4" w:space="0"/>
            </w:tcBorders>
            <w:vAlign w:val="center"/>
          </w:tcPr>
          <w:p>
            <w:pPr>
              <w:adjustRightInd w:val="0"/>
              <w:snapToGrid w:val="0"/>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《自然资源部 生态环境部 国家林业和草原局关于加强生态保护红线管理的通知（试行）》（自然资发〔2022〕142号）</w:t>
            </w:r>
          </w:p>
          <w:p>
            <w:pPr>
              <w:adjustRightInd w:val="0"/>
              <w:snapToGrid w:val="0"/>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《自然生态空间用途管制办法（试行）》（国土资发〔2017〕33号）</w:t>
            </w:r>
          </w:p>
          <w:p>
            <w:pPr>
              <w:jc w:val="left"/>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《甘肃省人民政府办公厅关于印发甘肃省“十四五”生态环境保护规划的通知》（甘政办发〔2021〕105号）</w:t>
            </w:r>
          </w:p>
          <w:p>
            <w:pPr>
              <w:adjustRightInd w:val="0"/>
              <w:snapToGrid w:val="0"/>
              <w:jc w:val="left"/>
              <w:rPr>
                <w:rFonts w:hint="eastAsia" w:ascii="仿宋_GB2312" w:hAnsi="仿宋_GB2312" w:eastAsia="仿宋_GB2312" w:cs="仿宋_GB2312"/>
                <w:b w:val="0"/>
                <w:bCs w:val="0"/>
                <w:color w:val="000000"/>
                <w:szCs w:val="21"/>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trHeight w:val="2721" w:hRule="atLeast"/>
          <w:jc w:val="center"/>
        </w:trPr>
        <w:tc>
          <w:tcPr>
            <w:tcW w:w="1573" w:type="dxa"/>
            <w:vMerge w:val="restart"/>
            <w:vAlign w:val="center"/>
          </w:tcPr>
          <w:p>
            <w:pPr>
              <w:adjustRightInd w:val="0"/>
              <w:snapToGrid w:val="0"/>
              <w:jc w:val="center"/>
              <w:rPr>
                <w:rFonts w:ascii="Times New Roman" w:hAnsi="Times New Roman" w:eastAsia="仿宋" w:cs="Times New Roman"/>
                <w:b/>
                <w:bCs/>
                <w:color w:val="000000"/>
                <w:szCs w:val="21"/>
                <w:lang w:bidi="en-US"/>
              </w:rPr>
            </w:pPr>
            <w:bookmarkStart w:id="6" w:name="_Toc151914042"/>
            <w:r>
              <w:rPr>
                <w:rFonts w:ascii="Times New Roman" w:hAnsi="Times New Roman" w:eastAsia="仿宋" w:cs="Times New Roman"/>
                <w:b w:val="0"/>
                <w:bCs w:val="0"/>
                <w:color w:val="000000"/>
                <w:szCs w:val="21"/>
                <w:lang w:bidi="en-US"/>
              </w:rPr>
              <w:t>重点管控</w:t>
            </w:r>
          </w:p>
        </w:tc>
        <w:tc>
          <w:tcPr>
            <w:tcW w:w="243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ascii="Times New Roman" w:hAnsi="Times New Roman" w:eastAsia="仿宋" w:cs="Times New Roman"/>
                <w:color w:val="000000"/>
                <w:szCs w:val="21"/>
                <w:lang w:bidi="en-US"/>
              </w:rPr>
            </w:pPr>
            <w:r>
              <w:rPr>
                <w:rFonts w:hint="eastAsia" w:ascii="仿宋_GB2312" w:hAnsi="仿宋_GB2312" w:eastAsia="仿宋_GB2312" w:cs="仿宋_GB2312"/>
                <w:b w:val="0"/>
                <w:bCs w:val="0"/>
                <w:color w:val="000000"/>
                <w:szCs w:val="21"/>
                <w:lang w:bidi="en-US"/>
              </w:rPr>
              <w:t>空间布局约束</w:t>
            </w:r>
          </w:p>
        </w:tc>
        <w:tc>
          <w:tcPr>
            <w:tcW w:w="11895"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1、执行全省及黄河流域（中部沿黄片区）生态环境总体准入清单中重点管控单元空间布局约束要求。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2、执行《关于深入打好污染防治攻坚战的意见》、《关于加强高耗能、高排放建设项目生态环境源头防控的指导意见》《中共兰州新区工作委员会 兰州新区管理委员会关于深入打好污染防治攻坚战行动方案》的污染物排放相关要求，等的严控新上、落后产能淘汰等空间布局约束的相关要求。坚决遏制高耗能、高排放项目盲目发展。对不符合规定的项目坚决停批停建。依法依规淘汰落后产能和化解过剩产能。</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3、严格执行行业排放标准和排污许可要求，分类清理《产业结构调整指导目录》淘汰类工业炉窑，依法关停不达标炉窑。执行《甘肃省大气污染治理领导小组办公室关于做好重点行业挥发性有机物综合治理工作的通知》、《重点行业挥发性有机物综合治理方案》等中的空间布局约束的相关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4、禁止在居民区、学校、医疗和养老机构等周边新建有色金属冶炼、焦化等行业企业。</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5、在农用地污染风险重点管控区周边划定缓冲区，禁止新增排放重金属和多环芳烃、石油烃等有机污染物的开发建设活动。</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《兰州新区“十四五”环境保护与生态建设规划》</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ascii="Times New Roman" w:hAnsi="Times New Roman" w:eastAsia="仿宋" w:cs="Times New Roman"/>
                <w:b/>
                <w:bCs/>
                <w:color w:val="000000"/>
                <w:szCs w:val="21"/>
                <w:lang w:bidi="en-US"/>
              </w:rPr>
            </w:pPr>
            <w:r>
              <w:rPr>
                <w:rFonts w:hint="eastAsia" w:ascii="仿宋_GB2312" w:hAnsi="仿宋_GB2312" w:eastAsia="仿宋_GB2312" w:cs="仿宋_GB2312"/>
                <w:b w:val="0"/>
                <w:bCs w:val="0"/>
                <w:color w:val="000000"/>
                <w:szCs w:val="21"/>
                <w:lang w:bidi="en-US"/>
              </w:rPr>
              <w:t>《中共兰州新区工作委员会 兰州新区管理委员会关于深入打好污染防治攻坚战行动方案》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243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ascii="Times New Roman" w:hAnsi="Times New Roman" w:eastAsia="仿宋" w:cs="Times New Roman"/>
                <w:b w:val="0"/>
                <w:bCs w:val="0"/>
                <w:color w:val="000000"/>
                <w:szCs w:val="21"/>
                <w:lang w:bidi="en-US"/>
              </w:rPr>
            </w:pPr>
            <w:r>
              <w:rPr>
                <w:rFonts w:hint="eastAsia" w:ascii="仿宋_GB2312" w:hAnsi="仿宋_GB2312" w:eastAsia="仿宋_GB2312" w:cs="仿宋_GB2312"/>
                <w:b w:val="0"/>
                <w:bCs w:val="0"/>
                <w:color w:val="000000"/>
                <w:szCs w:val="21"/>
                <w:lang w:bidi="en-US"/>
              </w:rPr>
              <w:t>污染物排放管控</w:t>
            </w:r>
          </w:p>
        </w:tc>
        <w:tc>
          <w:tcPr>
            <w:tcW w:w="11895"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1、执行全省及黄河流域（中部沿黄片区）生态环境总体准入清单中重点管控单元污染物排放管控要求。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2025年新区空气质量优良天数比率（%）、可吸入颗粒物（PM10）浓度（微克/立方米）、细颗粒物（PM2.5）浓度（微克/立方米）、达到或好于Ⅲ类水体比例（%）、劣Ⅴ类水体比例（%）、氮氧化物重点工程减排量（吨）、挥发性有机物重点工程减排量（吨）、化学需氧量重点工程减排量（吨）、氮氧重点工程减排量（吨）等生态环境有关指标完成省上下达的目标。工业园区全部建成污水集中处理设施并稳定达标排放，实现工业废水达标率100%；重点排污单位（含纳管企业）全部依法安装使用自动监测设备并与生态环境部门联网。</w:t>
            </w:r>
          </w:p>
          <w:p>
            <w:pPr>
              <w:keepNext w:val="0"/>
              <w:keepLines w:val="0"/>
              <w:pageBreakBefore w:val="0"/>
              <w:widowControl w:val="0"/>
              <w:kinsoku/>
              <w:wordWrap/>
              <w:overflowPunct/>
              <w:topLinePunct w:val="0"/>
              <w:autoSpaceDE/>
              <w:autoSpaceDN/>
              <w:bidi w:val="0"/>
              <w:adjustRightInd w:val="0"/>
              <w:snapToGrid w:val="0"/>
              <w:spacing w:line="24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3、执行《甘肃省水污染防治条例》等中的工业、城镇、农业和农村等水污染防治的相关要求。从事畜禽规模养殖要严格落实《中华人民共和国固体废物污染环境防治法》《中华人民共和国水污染防治法》《畜禽规模养殖污染防治条例》要求，建设粪污无害化处理和资源化利用设施并确保其正常运行，或委托第三方代为实现粪污无害化处理和资源化利用。农田灌溉用水、水产养殖用水、畜禽粪污肥料化利用应执行相应标准，防止污染土壤、地下水和农产品。在种植业面源污染突出区域，实施化肥农药减量增效行动。</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4、落实《中共兰州新区工作委员会 兰州新区管理委员会关于深入打好污染防治攻坚战行动方案》的污染物排放相关要求，“两高”项目生产工艺、装备技术、清洁生产水平等达到国内先进水平，配备完善、有效的污染防治措施。</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ascii="Times New Roman" w:hAnsi="Times New Roman" w:eastAsia="仿宋" w:cs="Times New Roman"/>
                <w:b w:val="0"/>
                <w:bCs w:val="0"/>
                <w:color w:val="000000"/>
                <w:szCs w:val="21"/>
                <w:lang w:bidi="en-US"/>
              </w:rPr>
            </w:pPr>
            <w:r>
              <w:rPr>
                <w:rFonts w:hint="eastAsia" w:ascii="仿宋_GB2312" w:hAnsi="仿宋_GB2312" w:eastAsia="仿宋_GB2312" w:cs="仿宋_GB2312"/>
                <w:b w:val="0"/>
                <w:bCs w:val="0"/>
                <w:color w:val="000000"/>
                <w:szCs w:val="21"/>
                <w:lang w:bidi="en-US"/>
              </w:rPr>
              <w:t>5、执行《甘肃省大气污染治理领导小组办公室关于做好重点行业挥发性有机物综合治理工作的通知》（甘大气治理领办发〔2019〕15号）、《重点行业挥发性有机物综合治理方案》（环大气〔2019〕53号）等中升级改造等污染物排放管控的相关</w:t>
            </w:r>
            <w:r>
              <w:rPr>
                <w:rFonts w:ascii="Times New Roman" w:hAnsi="Times New Roman" w:eastAsia="仿宋" w:cs="Times New Roman"/>
                <w:b w:val="0"/>
                <w:bCs w:val="0"/>
                <w:color w:val="000000"/>
                <w:szCs w:val="21"/>
                <w:lang w:bidi="en-US"/>
              </w:rPr>
              <w:t>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ascii="Times New Roman" w:hAnsi="Times New Roman" w:eastAsia="仿宋" w:cs="Times New Roman"/>
                <w:b w:val="0"/>
                <w:bCs w:val="0"/>
                <w:color w:val="000000"/>
                <w:szCs w:val="21"/>
                <w:lang w:bidi="en-US"/>
              </w:rPr>
            </w:pPr>
            <w:r>
              <w:rPr>
                <w:rFonts w:hint="eastAsia" w:ascii="仿宋_GB2312" w:hAnsi="仿宋_GB2312" w:eastAsia="仿宋_GB2312" w:cs="仿宋_GB2312"/>
                <w:b w:val="0"/>
                <w:bCs w:val="0"/>
                <w:color w:val="000000"/>
                <w:szCs w:val="21"/>
                <w:lang w:bidi="en-US"/>
              </w:rPr>
              <w:t>6、执行《中华人民共和国土壤污染防治法》《地下水污染防治实施方案》《甘肃省土壤污染防治条例》等中的污染物排放相关要求。</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outlineLvl w:val="9"/>
              <w:rPr>
                <w:rFonts w:ascii="Times New Roman" w:hAnsi="Times New Roman" w:eastAsia="仿宋" w:cs="Times New Roman"/>
                <w:b w:val="0"/>
                <w:bCs w:val="0"/>
                <w:color w:val="000000"/>
                <w:szCs w:val="21"/>
                <w:lang w:bidi="en-US"/>
              </w:rPr>
            </w:pPr>
            <w:r>
              <w:rPr>
                <w:rFonts w:hint="eastAsia" w:ascii="仿宋_GB2312" w:hAnsi="仿宋_GB2312" w:eastAsia="仿宋_GB2312" w:cs="仿宋_GB2312"/>
                <w:b w:val="0"/>
                <w:bCs w:val="0"/>
                <w:color w:val="000000"/>
                <w:szCs w:val="21"/>
                <w:lang w:bidi="en-US"/>
              </w:rPr>
              <w:t>《兰州新区“十四五”环境保护与生态建设规划》</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ascii="Times New Roman" w:hAnsi="Times New Roman" w:eastAsia="仿宋" w:cs="Times New Roman"/>
                <w:b w:val="0"/>
                <w:bCs w:val="0"/>
                <w:color w:val="000000"/>
                <w:szCs w:val="21"/>
                <w:lang w:bidi="en-US"/>
              </w:rPr>
            </w:pPr>
            <w:r>
              <w:rPr>
                <w:rFonts w:hint="eastAsia" w:ascii="仿宋_GB2312" w:hAnsi="仿宋_GB2312" w:eastAsia="仿宋_GB2312" w:cs="仿宋_GB2312"/>
                <w:b w:val="0"/>
                <w:bCs w:val="0"/>
                <w:color w:val="000000"/>
                <w:szCs w:val="21"/>
                <w:lang w:bidi="en-US"/>
              </w:rPr>
              <w:t>《中共兰州新区工作委员会 兰州新区管理委员会关于深入打好污染防治攻坚战行动方案》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128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环境风险防控</w:t>
            </w:r>
          </w:p>
        </w:tc>
        <w:tc>
          <w:tcPr>
            <w:tcW w:w="114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用地环境风险防控要求</w:t>
            </w:r>
          </w:p>
        </w:tc>
        <w:tc>
          <w:tcPr>
            <w:tcW w:w="11895" w:type="dxa"/>
            <w:vAlign w:val="center"/>
          </w:tcPr>
          <w:p>
            <w:pPr>
              <w:keepNext w:val="0"/>
              <w:keepLines w:val="0"/>
              <w:pageBreakBefore w:val="0"/>
              <w:widowControl w:val="0"/>
              <w:kinsoku/>
              <w:wordWrap/>
              <w:overflowPunct/>
              <w:topLinePunct w:val="0"/>
              <w:autoSpaceDE/>
              <w:autoSpaceDN/>
              <w:bidi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rPr>
            </w:pPr>
            <w:r>
              <w:rPr>
                <w:rFonts w:hint="eastAsia" w:ascii="仿宋_GB2312" w:hAnsi="仿宋_GB2312" w:eastAsia="仿宋_GB2312" w:cs="仿宋_GB2312"/>
                <w:b w:val="0"/>
                <w:bCs w:val="0"/>
                <w:color w:val="000000"/>
                <w:szCs w:val="21"/>
              </w:rPr>
              <w:t>1、执行全省及黄河流域（中部沿黄片区）生态环境总体准入清单中重点管控单元环境风险防控要求。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对暂不开发的受污染建设地块，实施土壤污染风险管控，防止污染扩散。强化风险管控和修复工程监管，重点防止转运污染土壤非法处置，以及污染地块风险管控和修复过程中产生的异味等二次污染，确保实现风险管控和修复目标。</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3、发生突发事件造成或者可能造成土壤污染的，相关企业应当立即采取应急措施，迅速控制污染源、封锁污染区域，疏散、撤离、妥善安置有关人员，防止污染扩大或者发生次生、衍生事件，依法做好土壤污染状况监测、调查和土壤污染风险评估、风险管控、修复等工作。</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4、加强对严格管控类耕地的用途管理，依法划定特定农产品禁止生产区域，严禁种植食用农产品。</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128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p>
        </w:tc>
        <w:tc>
          <w:tcPr>
            <w:tcW w:w="114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园区环境风险防控</w:t>
            </w:r>
          </w:p>
        </w:tc>
        <w:tc>
          <w:tcPr>
            <w:tcW w:w="11895"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rPr>
            </w:pPr>
            <w:r>
              <w:rPr>
                <w:rFonts w:hint="eastAsia" w:ascii="仿宋_GB2312" w:hAnsi="仿宋_GB2312" w:eastAsia="仿宋_GB2312" w:cs="仿宋_GB2312"/>
                <w:b w:val="0"/>
                <w:bCs w:val="0"/>
                <w:color w:val="000000"/>
                <w:szCs w:val="21"/>
              </w:rPr>
              <w:t>1、执行全省及黄河流域（中部沿黄片区）生态环境总体准入清单中重点管控单元环境风险防控要求。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2、完善环境风险和应急管理体系，推进园区排查整治，加强土壤、危险废物、化学品、</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核与辐射等重点领域环境风险防控，提升环境安全水平。加强产业园区环境风险防控体系建设并编制应急预案，细化明确产业园区及区内企业环境风险防范责任，切实做好环境风险防范工作。</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《兰州新区“十四五”环境保护与生态建设规划》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128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p>
        </w:tc>
        <w:tc>
          <w:tcPr>
            <w:tcW w:w="114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企业环境风险防控</w:t>
            </w:r>
          </w:p>
        </w:tc>
        <w:tc>
          <w:tcPr>
            <w:tcW w:w="11895"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rPr>
            </w:pPr>
            <w:r>
              <w:rPr>
                <w:rFonts w:hint="eastAsia" w:ascii="仿宋_GB2312" w:hAnsi="仿宋_GB2312" w:eastAsia="仿宋_GB2312" w:cs="仿宋_GB2312"/>
                <w:b w:val="0"/>
                <w:bCs w:val="0"/>
                <w:color w:val="000000"/>
                <w:szCs w:val="21"/>
              </w:rPr>
              <w:t>1、执行全省及黄河流域（中部沿黄片区）生态环境总体准入清单中重点管控单元环境风险防控要求。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2、落实《关于提升危险废物环境监管能力、利用处置能力和环境风险防范能力的指导意见》（环固体〔2019〕92号）等的危险废物环境风险管控的相关要求。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3、土壤污染重点监管单位新（改、扩）建项目用地应当符合国家或地方有关建设用地土壤风险管控标准。</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4、禁止在环境敏感区新建、改建、扩建涉及危险化学品生产、贮存、使用的项目，严格限制高风险化学品生产和使用。</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《兰州新区“十四五”环境保护与生态建设规划》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1286"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资源利用效率要求</w:t>
            </w:r>
          </w:p>
        </w:tc>
        <w:tc>
          <w:tcPr>
            <w:tcW w:w="114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水资源利用效率要求</w:t>
            </w:r>
          </w:p>
        </w:tc>
        <w:tc>
          <w:tcPr>
            <w:tcW w:w="11895"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1、执行全省及黄河流域（中部沿黄片区）生态环境总体准入清单中重点管控单元资源利用效率管控要求。</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2、积极推进节水行动，实施农业节水、工业节水、城市节水及水循环利用，建设节水型社会。</w:t>
            </w:r>
          </w:p>
          <w:p>
            <w:pPr>
              <w:keepNext w:val="0"/>
              <w:keepLines w:val="0"/>
              <w:pageBreakBefore w:val="0"/>
              <w:widowControl w:val="0"/>
              <w:kinsoku/>
              <w:wordWrap/>
              <w:overflowPunct/>
              <w:topLinePunct w:val="0"/>
              <w:autoSpaceDE/>
              <w:autoSpaceDN/>
              <w:bidi w:val="0"/>
              <w:spacing w:line="260" w:lineRule="exact"/>
              <w:ind w:left="0" w:leftChars="0" w:right="0" w:rightChars="0" w:firstLine="0" w:firstLineChars="0"/>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3、</w:t>
            </w:r>
            <w:r>
              <w:rPr>
                <w:rFonts w:hint="eastAsia" w:ascii="仿宋_GB2312" w:hAnsi="仿宋_GB2312" w:eastAsia="仿宋_GB2312" w:cs="仿宋_GB2312"/>
                <w:b w:val="0"/>
                <w:bCs w:val="0"/>
                <w:color w:val="000000"/>
                <w:szCs w:val="21"/>
              </w:rPr>
              <w:t>落实《兰州新区“十四五”水利发展规划》相关要求，完成“十四五”用水总量控制目标以及万元GDP用水量下降等目标。</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《兰州新区“十四五”国民经济和</w:t>
            </w:r>
          </w:p>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社会发展规划和二〇三五年远景目标纲要》（新发〔2021〕14号）</w:t>
            </w:r>
          </w:p>
          <w:p>
            <w:pPr>
              <w:keepNext w:val="0"/>
              <w:keepLines w:val="0"/>
              <w:pageBreakBefore w:val="0"/>
              <w:widowControl w:val="0"/>
              <w:kinsoku/>
              <w:wordWrap/>
              <w:overflowPunct/>
              <w:topLinePunct w:val="0"/>
              <w:autoSpaceDE/>
              <w:autoSpaceDN/>
              <w:bidi w:val="0"/>
              <w:spacing w:line="260" w:lineRule="exact"/>
              <w:ind w:left="0" w:leftChars="0" w:right="0" w:rightChars="0" w:firstLine="0" w:firstLineChars="0"/>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rPr>
              <w:t>《兰州新区“十四五”水利发展规划》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128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p>
        </w:tc>
        <w:tc>
          <w:tcPr>
            <w:tcW w:w="114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地下水开采要求</w:t>
            </w:r>
          </w:p>
        </w:tc>
        <w:tc>
          <w:tcPr>
            <w:tcW w:w="1189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numPr>
                <w:ilvl w:val="0"/>
                <w:numId w:val="1"/>
              </w:numPr>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执行全省及黄河流域（中部沿黄片区）生态环境总体准入清单中重点管控单元资源利用效率管控要求。</w:t>
            </w:r>
          </w:p>
          <w:p>
            <w:pPr>
              <w:keepNext w:val="0"/>
              <w:keepLines w:val="0"/>
              <w:pageBreakBefore w:val="0"/>
              <w:widowControl w:val="0"/>
              <w:kinsoku/>
              <w:wordWrap/>
              <w:overflowPunct/>
              <w:topLinePunct w:val="0"/>
              <w:autoSpaceDE/>
              <w:autoSpaceDN/>
              <w:bidi w:val="0"/>
              <w:spacing w:line="260" w:lineRule="exact"/>
              <w:ind w:left="0" w:leftChars="0" w:right="0" w:rightChars="0" w:firstLine="0" w:firstLineChars="0"/>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color w:val="000000"/>
                <w:szCs w:val="21"/>
                <w:lang w:bidi="en-US"/>
              </w:rPr>
              <w:t>2、在地下水限采区内，除应急供水和生活用水更新井外，严禁开凿取水井。确需取用地下水的，一般超采区要在现有地下水开采总量内调剂解决，并逐步削减地下水开采量。</w:t>
            </w:r>
          </w:p>
        </w:tc>
        <w:tc>
          <w:tcPr>
            <w:tcW w:w="5226"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1286"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p>
        </w:tc>
        <w:tc>
          <w:tcPr>
            <w:tcW w:w="1146" w:type="dxa"/>
            <w:tcBorders>
              <w:top w:val="single" w:color="auto" w:sz="4" w:space="0"/>
              <w:left w:val="nil"/>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center"/>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能源利用要求效率</w:t>
            </w:r>
          </w:p>
        </w:tc>
        <w:tc>
          <w:tcPr>
            <w:tcW w:w="11895" w:type="dxa"/>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执行全省及黄河流域（中部沿黄片区）生态环境总体准入清单中重点管控单元资源利用效率管控要求。</w:t>
            </w:r>
          </w:p>
          <w:p>
            <w:pPr>
              <w:keepNext w:val="0"/>
              <w:keepLines w:val="0"/>
              <w:pageBreakBefore w:val="0"/>
              <w:widowControl w:val="0"/>
              <w:kinsoku/>
              <w:wordWrap/>
              <w:overflowPunct/>
              <w:topLinePunct w:val="0"/>
              <w:autoSpaceDE/>
              <w:autoSpaceDN/>
              <w:bidi w:val="0"/>
              <w:spacing w:line="260" w:lineRule="exact"/>
              <w:ind w:left="0" w:leftChars="0" w:right="0" w:rightChars="0" w:firstLine="0" w:firstLineChars="0"/>
              <w:textAlignment w:val="auto"/>
              <w:rPr>
                <w:rFonts w:hint="eastAsia" w:ascii="仿宋_GB2312" w:hAnsi="仿宋_GB2312" w:eastAsia="仿宋_GB2312" w:cs="仿宋_GB2312"/>
                <w:b w:val="0"/>
                <w:bCs w:val="0"/>
                <w:szCs w:val="21"/>
              </w:rPr>
            </w:pPr>
            <w:r>
              <w:rPr>
                <w:rFonts w:hint="eastAsia" w:ascii="仿宋_GB2312" w:hAnsi="仿宋_GB2312" w:eastAsia="仿宋_GB2312" w:cs="仿宋_GB2312"/>
                <w:b w:val="0"/>
                <w:bCs w:val="0"/>
                <w:szCs w:val="21"/>
              </w:rPr>
              <w:t>2、落实《兰州新区“十四五”能源发展规划》能源利用效率目标及相关要求。</w:t>
            </w:r>
          </w:p>
        </w:tc>
        <w:tc>
          <w:tcPr>
            <w:tcW w:w="5226" w:type="dxa"/>
            <w:vAlign w:val="center"/>
          </w:tcPr>
          <w:p>
            <w:pPr>
              <w:keepNext w:val="0"/>
              <w:keepLines w:val="0"/>
              <w:pageBreakBefore w:val="0"/>
              <w:widowControl w:val="0"/>
              <w:kinsoku/>
              <w:wordWrap/>
              <w:overflowPunct/>
              <w:topLinePunct w:val="0"/>
              <w:autoSpaceDE/>
              <w:autoSpaceDN/>
              <w:bidi w:val="0"/>
              <w:adjustRightInd w:val="0"/>
              <w:snapToGrid w:val="0"/>
              <w:spacing w:line="260" w:lineRule="exact"/>
              <w:ind w:left="0" w:leftChars="0" w:right="0" w:rightChars="0" w:firstLine="0" w:firstLineChars="0"/>
              <w:jc w:val="left"/>
              <w:textAlignment w:val="auto"/>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szCs w:val="21"/>
              </w:rPr>
              <w:t>《兰州新区“十四五”能源发展规划》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trHeight w:val="881" w:hRule="atLeast"/>
          <w:jc w:val="center"/>
        </w:trPr>
        <w:tc>
          <w:tcPr>
            <w:tcW w:w="1573" w:type="dxa"/>
            <w:vMerge w:val="restart"/>
            <w:vAlign w:val="center"/>
          </w:tcPr>
          <w:p>
            <w:pPr>
              <w:adjustRightInd w:val="0"/>
              <w:snapToGrid w:val="0"/>
              <w:jc w:val="center"/>
              <w:rPr>
                <w:rFonts w:ascii="Times New Roman" w:hAnsi="Times New Roman" w:eastAsia="仿宋" w:cs="Times New Roman"/>
                <w:b/>
                <w:bCs/>
                <w:color w:val="000000"/>
                <w:szCs w:val="21"/>
                <w:lang w:bidi="en-US"/>
              </w:rPr>
            </w:pPr>
            <w:r>
              <w:rPr>
                <w:rFonts w:ascii="Times New Roman" w:hAnsi="Times New Roman" w:eastAsia="仿宋" w:cs="Times New Roman"/>
                <w:b w:val="0"/>
                <w:bCs w:val="0"/>
                <w:color w:val="000000"/>
                <w:szCs w:val="21"/>
                <w:lang w:bidi="en-US"/>
              </w:rPr>
              <w:t>一般管控</w:t>
            </w:r>
          </w:p>
        </w:tc>
        <w:tc>
          <w:tcPr>
            <w:tcW w:w="2432" w:type="dxa"/>
            <w:gridSpan w:val="2"/>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空间布局约束</w:t>
            </w:r>
          </w:p>
        </w:tc>
        <w:tc>
          <w:tcPr>
            <w:tcW w:w="11895" w:type="dxa"/>
            <w:vAlign w:val="center"/>
          </w:tcPr>
          <w:p>
            <w:pPr>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rPr>
              <w:t>1、执行全省及黄河流域（中部沿黄片区）生态环境总体准入清单中一般管控单元的空间布局约束要求以及省、新区水污染防治、大气污染防治、土壤污染防治等相关要求。</w:t>
            </w:r>
          </w:p>
        </w:tc>
        <w:tc>
          <w:tcPr>
            <w:tcW w:w="5226"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trHeight w:val="1154" w:hRule="atLeast"/>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2432" w:type="dxa"/>
            <w:gridSpan w:val="2"/>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污染物排放管控</w:t>
            </w:r>
          </w:p>
        </w:tc>
        <w:tc>
          <w:tcPr>
            <w:tcW w:w="11895"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rPr>
              <w:t>执行全省及黄河流域（中部沿黄片区）生态环境总体准入清单中一般管控单元的污染物排放管控要求以及省、新区水污染防治、大气污染防治、土壤污染防治等相关要求。</w:t>
            </w:r>
          </w:p>
        </w:tc>
        <w:tc>
          <w:tcPr>
            <w:tcW w:w="5226"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trHeight w:val="735" w:hRule="atLeast"/>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2432" w:type="dxa"/>
            <w:gridSpan w:val="2"/>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环境风险防控</w:t>
            </w:r>
          </w:p>
        </w:tc>
        <w:tc>
          <w:tcPr>
            <w:tcW w:w="11895"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rPr>
              <w:t>执行全省及黄河流域（中部沿黄片区）生态环境总体准入清单中一般管控单元的环境风险防控要求。</w:t>
            </w:r>
          </w:p>
        </w:tc>
        <w:tc>
          <w:tcPr>
            <w:tcW w:w="5226"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4" w:type="dxa"/>
          <w:trHeight w:val="801" w:hRule="atLeast"/>
          <w:jc w:val="center"/>
        </w:trPr>
        <w:tc>
          <w:tcPr>
            <w:tcW w:w="1573" w:type="dxa"/>
            <w:vMerge w:val="continue"/>
            <w:vAlign w:val="center"/>
          </w:tcPr>
          <w:p>
            <w:pPr>
              <w:adjustRightInd w:val="0"/>
              <w:snapToGrid w:val="0"/>
              <w:jc w:val="center"/>
              <w:rPr>
                <w:rFonts w:ascii="Times New Roman" w:hAnsi="Times New Roman" w:eastAsia="仿宋" w:cs="Times New Roman"/>
                <w:b/>
                <w:bCs/>
                <w:color w:val="000000"/>
                <w:szCs w:val="21"/>
                <w:lang w:bidi="en-US"/>
              </w:rPr>
            </w:pPr>
          </w:p>
        </w:tc>
        <w:tc>
          <w:tcPr>
            <w:tcW w:w="2432" w:type="dxa"/>
            <w:gridSpan w:val="2"/>
            <w:vAlign w:val="center"/>
          </w:tcPr>
          <w:p>
            <w:pPr>
              <w:adjustRightInd w:val="0"/>
              <w:snapToGrid w:val="0"/>
              <w:jc w:val="center"/>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资源利用效率</w:t>
            </w:r>
          </w:p>
        </w:tc>
        <w:tc>
          <w:tcPr>
            <w:tcW w:w="11895"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rPr>
              <w:t>执行全省及黄河流域（中部沿黄片区）生态环境总体准入清单中一般管控单元的资源开发利用要求。</w:t>
            </w:r>
          </w:p>
        </w:tc>
        <w:tc>
          <w:tcPr>
            <w:tcW w:w="5226" w:type="dxa"/>
            <w:vAlign w:val="center"/>
          </w:tcPr>
          <w:p>
            <w:pPr>
              <w:adjustRightInd w:val="0"/>
              <w:snapToGrid w:val="0"/>
              <w:jc w:val="left"/>
              <w:rPr>
                <w:rFonts w:hint="eastAsia" w:ascii="仿宋_GB2312" w:hAnsi="仿宋_GB2312" w:eastAsia="仿宋_GB2312" w:cs="仿宋_GB2312"/>
                <w:b w:val="0"/>
                <w:bCs w:val="0"/>
                <w:color w:val="000000"/>
                <w:szCs w:val="21"/>
                <w:lang w:bidi="en-US"/>
              </w:rPr>
            </w:pPr>
            <w:r>
              <w:rPr>
                <w:rFonts w:hint="eastAsia" w:ascii="仿宋_GB2312" w:hAnsi="仿宋_GB2312" w:eastAsia="仿宋_GB2312" w:cs="仿宋_GB2312"/>
                <w:b w:val="0"/>
                <w:bCs w:val="0"/>
                <w:color w:val="000000"/>
                <w:szCs w:val="21"/>
                <w:lang w:bidi="en-US"/>
              </w:rPr>
              <w:t>/</w:t>
            </w:r>
          </w:p>
        </w:tc>
      </w:tr>
    </w:tbl>
    <w:p>
      <w:pPr>
        <w:spacing w:line="320" w:lineRule="exact"/>
        <w:rPr>
          <w:rFonts w:ascii="Times New Roman" w:hAnsi="Times New Roman" w:eastAsia="仿宋" w:cs="Times New Roman"/>
          <w:color w:val="000000" w:themeColor="text1"/>
          <w:szCs w:val="21"/>
          <w14:textFill>
            <w14:solidFill>
              <w14:schemeClr w14:val="tx1"/>
            </w14:solidFill>
          </w14:textFill>
        </w:rPr>
      </w:pPr>
    </w:p>
    <w:p>
      <w:pPr>
        <w:spacing w:line="320" w:lineRule="exact"/>
        <w:rPr>
          <w:rFonts w:ascii="Times New Roman" w:hAnsi="Times New Roman" w:eastAsia="仿宋" w:cs="Times New Roman"/>
          <w:color w:val="000000" w:themeColor="text1"/>
          <w:szCs w:val="21"/>
          <w14:textFill>
            <w14:solidFill>
              <w14:schemeClr w14:val="tx1"/>
            </w14:solidFill>
          </w14:textFill>
        </w:rPr>
      </w:pPr>
    </w:p>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仿宋_GB2312" w:hAnsi="仿宋_GB2312" w:eastAsia="仿宋_GB2312" w:cs="仿宋_GB2312"/>
          <w:color w:val="000000" w:themeColor="text1"/>
          <w14:textFill>
            <w14:solidFill>
              <w14:schemeClr w14:val="tx1"/>
            </w14:solidFill>
          </w14:textFill>
        </w:rPr>
      </w:pPr>
    </w:p>
    <w:p>
      <w:pPr>
        <w:pStyle w:val="42"/>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表2  兰州新区</w:t>
      </w:r>
      <w:r>
        <w:rPr>
          <w:rFonts w:hint="eastAsia" w:ascii="方正小标宋简体" w:hAnsi="方正小标宋简体" w:eastAsia="方正小标宋简体" w:cs="方正小标宋简体"/>
          <w:b w:val="0"/>
          <w:bCs w:val="0"/>
          <w:color w:val="000000" w:themeColor="text1"/>
          <w:sz w:val="32"/>
          <w:szCs w:val="32"/>
          <w:lang w:eastAsia="zh-CN"/>
          <w14:textFill>
            <w14:solidFill>
              <w14:schemeClr w14:val="tx1"/>
            </w14:solidFill>
          </w14:textFill>
        </w:rPr>
        <w:t>（</w:t>
      </w:r>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规划核心区</w:t>
      </w:r>
      <w:r>
        <w:rPr>
          <w:rFonts w:hint="eastAsia" w:ascii="方正小标宋简体" w:hAnsi="方正小标宋简体" w:eastAsia="方正小标宋简体" w:cs="方正小标宋简体"/>
          <w:b w:val="0"/>
          <w:bCs w:val="0"/>
          <w:color w:val="000000" w:themeColor="text1"/>
          <w:sz w:val="32"/>
          <w:szCs w:val="32"/>
          <w:lang w:eastAsia="zh-CN"/>
          <w14:textFill>
            <w14:solidFill>
              <w14:schemeClr w14:val="tx1"/>
            </w14:solidFill>
          </w14:textFill>
        </w:rPr>
        <w:t>）</w:t>
      </w: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生态环境准入清单</w:t>
      </w:r>
      <w:bookmarkEnd w:id="6"/>
    </w:p>
    <w:p>
      <w:pPr>
        <w:tabs>
          <w:tab w:val="left" w:pos="50"/>
        </w:tabs>
        <w:rPr>
          <w:rFonts w:hint="eastAsia" w:ascii="仿宋_GB2312" w:hAnsi="仿宋_GB2312" w:eastAsia="仿宋_GB2312" w:cs="仿宋_GB2312"/>
          <w:color w:val="000000" w:themeColor="text1"/>
          <w:szCs w:val="21"/>
          <w14:textFill>
            <w14:solidFill>
              <w14:schemeClr w14:val="tx1"/>
            </w14:solidFill>
          </w14:textFill>
        </w:rPr>
      </w:pPr>
    </w:p>
    <w:tbl>
      <w:tblPr>
        <w:tblStyle w:val="34"/>
        <w:tblW w:w="21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49"/>
        <w:gridCol w:w="992"/>
        <w:gridCol w:w="425"/>
        <w:gridCol w:w="415"/>
        <w:gridCol w:w="283"/>
        <w:gridCol w:w="851"/>
        <w:gridCol w:w="3685"/>
        <w:gridCol w:w="4111"/>
        <w:gridCol w:w="4253"/>
        <w:gridCol w:w="2704"/>
        <w:gridCol w:w="1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1849"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环境管控单元编码</w:t>
            </w:r>
          </w:p>
        </w:tc>
        <w:tc>
          <w:tcPr>
            <w:tcW w:w="992"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环境管控单元名称</w:t>
            </w:r>
          </w:p>
        </w:tc>
        <w:tc>
          <w:tcPr>
            <w:tcW w:w="1123" w:type="dxa"/>
            <w:gridSpan w:val="3"/>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行政区划</w:t>
            </w:r>
          </w:p>
        </w:tc>
        <w:tc>
          <w:tcPr>
            <w:tcW w:w="851"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管控单元分类</w:t>
            </w:r>
          </w:p>
        </w:tc>
        <w:tc>
          <w:tcPr>
            <w:tcW w:w="3685"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空间布局约束</w:t>
            </w:r>
          </w:p>
        </w:tc>
        <w:tc>
          <w:tcPr>
            <w:tcW w:w="4111"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污染物排放管控</w:t>
            </w:r>
          </w:p>
        </w:tc>
        <w:tc>
          <w:tcPr>
            <w:tcW w:w="4253"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环境风险防控</w:t>
            </w:r>
          </w:p>
        </w:tc>
        <w:tc>
          <w:tcPr>
            <w:tcW w:w="2704"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资源利用效率要求</w:t>
            </w:r>
          </w:p>
        </w:tc>
        <w:tc>
          <w:tcPr>
            <w:tcW w:w="1973" w:type="dxa"/>
            <w:vMerge w:val="restart"/>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1849" w:type="dxa"/>
            <w:vMerge w:val="continue"/>
            <w:shd w:val="clear" w:color="auto" w:fill="auto"/>
            <w:tcMar>
              <w:top w:w="15" w:type="dxa"/>
              <w:left w:w="15" w:type="dxa"/>
              <w:right w:w="15" w:type="dxa"/>
            </w:tcMar>
            <w:vAlign w:val="center"/>
          </w:tcPr>
          <w:p>
            <w:pPr>
              <w:widowControl/>
              <w:snapToGrid w:val="0"/>
              <w:jc w:val="center"/>
              <w:rPr>
                <w:rFonts w:hint="eastAsia" w:ascii="仿宋_GB2312" w:hAnsi="仿宋_GB2312" w:eastAsia="仿宋_GB2312" w:cs="仿宋_GB2312"/>
                <w:b/>
                <w:color w:val="000000" w:themeColor="text1"/>
                <w:szCs w:val="21"/>
                <w14:textFill>
                  <w14:solidFill>
                    <w14:schemeClr w14:val="tx1"/>
                  </w14:solidFill>
                </w14:textFill>
              </w:rPr>
            </w:pPr>
          </w:p>
        </w:tc>
        <w:tc>
          <w:tcPr>
            <w:tcW w:w="992" w:type="dxa"/>
            <w:vMerge w:val="continue"/>
            <w:shd w:val="clear" w:color="auto" w:fill="auto"/>
            <w:tcMar>
              <w:top w:w="15" w:type="dxa"/>
              <w:left w:w="15" w:type="dxa"/>
              <w:right w:w="15" w:type="dxa"/>
            </w:tcMar>
            <w:vAlign w:val="center"/>
          </w:tcPr>
          <w:p>
            <w:pPr>
              <w:widowControl/>
              <w:snapToGrid w:val="0"/>
              <w:jc w:val="center"/>
              <w:rPr>
                <w:rFonts w:hint="eastAsia" w:ascii="仿宋_GB2312" w:hAnsi="仿宋_GB2312" w:eastAsia="仿宋_GB2312" w:cs="仿宋_GB2312"/>
                <w:b/>
                <w:color w:val="000000" w:themeColor="text1"/>
                <w:szCs w:val="21"/>
                <w14:textFill>
                  <w14:solidFill>
                    <w14:schemeClr w14:val="tx1"/>
                  </w14:solidFill>
                </w14:textFill>
              </w:rPr>
            </w:pP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市</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b/>
                <w:color w:val="000000" w:themeColor="text1"/>
                <w:szCs w:val="21"/>
                <w14:textFill>
                  <w14:solidFill>
                    <w14:schemeClr w14:val="tx1"/>
                  </w14:solidFill>
                </w14:textFill>
              </w:rPr>
            </w:pPr>
            <w:r>
              <w:rPr>
                <w:rFonts w:hint="eastAsia" w:ascii="仿宋_GB2312" w:hAnsi="仿宋_GB2312" w:eastAsia="仿宋_GB2312" w:cs="仿宋_GB2312"/>
                <w:b/>
                <w:color w:val="000000" w:themeColor="text1"/>
                <w:kern w:val="0"/>
                <w:szCs w:val="21"/>
                <w:lang w:bidi="ar"/>
                <w14:textFill>
                  <w14:solidFill>
                    <w14:schemeClr w14:val="tx1"/>
                  </w14:solidFill>
                </w14:textFill>
              </w:rPr>
              <w:t>县</w:t>
            </w:r>
          </w:p>
        </w:tc>
        <w:tc>
          <w:tcPr>
            <w:tcW w:w="851" w:type="dxa"/>
            <w:vMerge w:val="continue"/>
            <w:shd w:val="clear" w:color="auto" w:fill="auto"/>
            <w:tcMar>
              <w:top w:w="15" w:type="dxa"/>
              <w:left w:w="15" w:type="dxa"/>
              <w:right w:w="15" w:type="dxa"/>
            </w:tcMar>
            <w:vAlign w:val="center"/>
          </w:tcPr>
          <w:p>
            <w:pPr>
              <w:widowControl/>
              <w:snapToGrid w:val="0"/>
              <w:jc w:val="center"/>
              <w:rPr>
                <w:rFonts w:hint="eastAsia" w:ascii="仿宋_GB2312" w:hAnsi="仿宋_GB2312" w:eastAsia="仿宋_GB2312" w:cs="仿宋_GB2312"/>
                <w:b/>
                <w:color w:val="000000" w:themeColor="text1"/>
                <w:szCs w:val="21"/>
                <w14:textFill>
                  <w14:solidFill>
                    <w14:schemeClr w14:val="tx1"/>
                  </w14:solidFill>
                </w14:textFill>
              </w:rPr>
            </w:pPr>
          </w:p>
        </w:tc>
        <w:tc>
          <w:tcPr>
            <w:tcW w:w="3685" w:type="dxa"/>
            <w:vMerge w:val="continue"/>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b/>
                <w:color w:val="000000" w:themeColor="text1"/>
                <w:szCs w:val="21"/>
                <w14:textFill>
                  <w14:solidFill>
                    <w14:schemeClr w14:val="tx1"/>
                  </w14:solidFill>
                </w14:textFill>
              </w:rPr>
            </w:pPr>
          </w:p>
        </w:tc>
        <w:tc>
          <w:tcPr>
            <w:tcW w:w="4111" w:type="dxa"/>
            <w:vMerge w:val="continue"/>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b/>
                <w:color w:val="000000" w:themeColor="text1"/>
                <w:szCs w:val="21"/>
                <w14:textFill>
                  <w14:solidFill>
                    <w14:schemeClr w14:val="tx1"/>
                  </w14:solidFill>
                </w14:textFill>
              </w:rPr>
            </w:pPr>
          </w:p>
        </w:tc>
        <w:tc>
          <w:tcPr>
            <w:tcW w:w="4253" w:type="dxa"/>
            <w:vMerge w:val="continue"/>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b/>
                <w:color w:val="000000" w:themeColor="text1"/>
                <w:szCs w:val="21"/>
                <w14:textFill>
                  <w14:solidFill>
                    <w14:schemeClr w14:val="tx1"/>
                  </w14:solidFill>
                </w14:textFill>
              </w:rPr>
            </w:pPr>
          </w:p>
        </w:tc>
        <w:tc>
          <w:tcPr>
            <w:tcW w:w="2704" w:type="dxa"/>
            <w:vMerge w:val="continue"/>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b/>
                <w:color w:val="000000" w:themeColor="text1"/>
                <w:szCs w:val="21"/>
                <w14:textFill>
                  <w14:solidFill>
                    <w14:schemeClr w14:val="tx1"/>
                  </w14:solidFill>
                </w14:textFill>
              </w:rPr>
            </w:pPr>
          </w:p>
        </w:tc>
        <w:tc>
          <w:tcPr>
            <w:tcW w:w="1973" w:type="dxa"/>
            <w:vMerge w:val="continue"/>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b/>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314"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ZH62017110001</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兰州新区山字墩水库饮用水水源地</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优先保护单元1</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执行《中华人民共和国水污染防治法》（2017年修正）《饮用水水源保护区污染防治管理规定》（2010年修正）《集中式饮用水水源环境保护指南（试行）》中地表水型饮用水水源保护区的相关要求。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执行《中华人民共和国水污染防治法》（2017年修正）《饮用水水源保护区污染防治管理规定》（2010年修正）《集中式饮用水水源环境保护指南（试行）》中地表水型饮用水水源保护区的相关要求。</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中华人民共和国水污染防治法》（2017年修正）《饮用水水源保护区污染防治管理规定》（2010年修正）《集中式饮用水水源环境保护指南（试行）》中地表水型饮用水水源保护区的相关要求，加强固定风险源、流动风险源等风险源管理，建设跨水体的路桥、管道应建设围堰等应急防护措施，防止有毒有害物质泄漏进入水体。</w:t>
            </w:r>
          </w:p>
        </w:tc>
        <w:tc>
          <w:tcPr>
            <w:tcW w:w="2704" w:type="dxa"/>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提高水资源综合利用效率。</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陇中黄土低山丘陵水土保持—水源涵养生态保护红线 水环境优先保护区 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371"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ZH62017110002</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兰州新区石门沟水库饮用水水源地</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优先保护单元2</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执行《中华人民共和国水污染防治法》（2017年修正）《饮用水水源保护区污染防治管理规定》（2010年修正）《集中式饮用水水源环境保护指南（试行）》中地表水型饮用水水源保护区的相关要求。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执行《中华人民共和国水污染防治法》（2017年修正）《饮用水水源保护区污染防治管理规定》（2010年修正）《集中式饮用水水源环境保护指南（试行）》中地表水型饮用水水源保护区的相关要求。</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中华人民共和国水污染防治法》（2017年修正）《饮用水水源保护区污染防治管理规定》（2010年修正）《集中式饮用水水源环境保护指南（试行）》中地表水型饮用水水源保护区的相关要求，加强固定风险源、流动风险源等风险源管理，建设跨水体的路桥、管道应建设围堰等应急防护措施，防止有毒有害物质泄漏进入水体。</w:t>
            </w:r>
          </w:p>
        </w:tc>
        <w:tc>
          <w:tcPr>
            <w:tcW w:w="2704" w:type="dxa"/>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提高水资源综合利用效率。</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祁连山北麓中东部山地针叶林水源涵养生态保护红线 水环境优先保护区 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428"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ZH62017110003</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甘肃秦王川国家级湿地公园</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优先保护单元3</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6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kern w:val="0"/>
                <w:szCs w:val="21"/>
                <w:lang w:bidi="ar"/>
                <w14:textFill>
                  <w14:solidFill>
                    <w14:schemeClr w14:val="tx1"/>
                  </w14:solidFill>
                </w14:textFill>
              </w:rPr>
              <w:t>执行《国家级自然公园管理办法（试行）》（林保规〔2023〕4号）《国家湿地公园管理办法》（</w:t>
            </w:r>
            <w:r>
              <w:rPr>
                <w:rFonts w:hint="eastAsia" w:ascii="仿宋_GB2312" w:hAnsi="仿宋_GB2312" w:eastAsia="仿宋_GB2312" w:cs="仿宋_GB2312"/>
                <w:color w:val="000000" w:themeColor="text1"/>
                <w:szCs w:val="21"/>
                <w:shd w:val="clear" w:color="auto" w:fill="FFFFFF"/>
                <w14:textFill>
                  <w14:solidFill>
                    <w14:schemeClr w14:val="tx1"/>
                  </w14:solidFill>
                </w14:textFill>
              </w:rPr>
              <w:t>林湿规〔2022〕3号</w:t>
            </w:r>
            <w:r>
              <w:rPr>
                <w:rFonts w:hint="eastAsia" w:ascii="仿宋_GB2312" w:hAnsi="仿宋_GB2312" w:eastAsia="仿宋_GB2312" w:cs="仿宋_GB2312"/>
                <w:color w:val="000000" w:themeColor="text1"/>
                <w:kern w:val="0"/>
                <w:szCs w:val="21"/>
                <w:lang w:bidi="ar"/>
                <w14:textFill>
                  <w14:solidFill>
                    <w14:schemeClr w14:val="tx1"/>
                  </w14:solidFill>
                </w14:textFill>
              </w:rPr>
              <w:t>）等相关规范性文件中禁止、限制、淘汰、退出类要求，禁止擅自在国家级自然公园内从事采矿、房地产、开发区、高尔夫球场、风力光伏电场等不符合管控要求的开发活动。禁止违规侵占国家级自然公园的行为。</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6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kern w:val="0"/>
                <w:szCs w:val="21"/>
                <w:lang w:bidi="ar"/>
                <w14:textFill>
                  <w14:solidFill>
                    <w14:schemeClr w14:val="tx1"/>
                  </w14:solidFill>
                </w14:textFill>
              </w:rPr>
              <w:t>执行《国家级自然公园管理办法（试行）》（林保规〔2023〕4号）《国家湿地公园管理办法》（</w:t>
            </w:r>
            <w:r>
              <w:rPr>
                <w:rFonts w:hint="eastAsia" w:ascii="仿宋_GB2312" w:hAnsi="仿宋_GB2312" w:eastAsia="仿宋_GB2312" w:cs="仿宋_GB2312"/>
                <w:color w:val="000000" w:themeColor="text1"/>
                <w:szCs w:val="21"/>
                <w:shd w:val="clear" w:color="auto" w:fill="FFFFFF"/>
                <w14:textFill>
                  <w14:solidFill>
                    <w14:schemeClr w14:val="tx1"/>
                  </w14:solidFill>
                </w14:textFill>
              </w:rPr>
              <w:t>林湿规〔2022〕3号</w:t>
            </w:r>
            <w:r>
              <w:rPr>
                <w:rFonts w:hint="eastAsia" w:ascii="仿宋_GB2312" w:hAnsi="仿宋_GB2312" w:eastAsia="仿宋_GB2312" w:cs="仿宋_GB2312"/>
                <w:color w:val="000000" w:themeColor="text1"/>
                <w:kern w:val="0"/>
                <w:szCs w:val="21"/>
                <w:lang w:bidi="ar"/>
                <w14:textFill>
                  <w14:solidFill>
                    <w14:schemeClr w14:val="tx1"/>
                  </w14:solidFill>
                </w14:textFill>
              </w:rPr>
              <w:t>）等相关规范性文件中污染物排放管控要求，禁止排放不符合水污染物排放标准的工业废水、生活污水及其他的废水、污水，倾倒、堆放、丢弃、遗撒固体废物等污染生态环境的行为。</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6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Cs w:val="21"/>
                <w:lang w:bidi="ar"/>
                <w14:textFill>
                  <w14:solidFill>
                    <w14:schemeClr w14:val="tx1"/>
                  </w14:solidFill>
                </w14:textFill>
              </w:rPr>
              <w:t>执行《国家级自然公园管理办法（试行）》（林保规〔2023〕4号）《国家湿地公园管理办法》（</w:t>
            </w:r>
            <w:r>
              <w:rPr>
                <w:rFonts w:hint="eastAsia" w:ascii="仿宋_GB2312" w:hAnsi="仿宋_GB2312" w:eastAsia="仿宋_GB2312" w:cs="仿宋_GB2312"/>
                <w:color w:val="000000" w:themeColor="text1"/>
                <w:szCs w:val="21"/>
                <w:shd w:val="clear" w:color="auto" w:fill="FFFFFF"/>
                <w14:textFill>
                  <w14:solidFill>
                    <w14:schemeClr w14:val="tx1"/>
                  </w14:solidFill>
                </w14:textFill>
              </w:rPr>
              <w:t>林湿规〔2022〕3号</w:t>
            </w:r>
            <w:r>
              <w:rPr>
                <w:rFonts w:hint="eastAsia" w:ascii="仿宋_GB2312" w:hAnsi="仿宋_GB2312" w:eastAsia="仿宋_GB2312" w:cs="仿宋_GB2312"/>
                <w:color w:val="000000" w:themeColor="text1"/>
                <w:kern w:val="0"/>
                <w:szCs w:val="21"/>
                <w:lang w:bidi="ar"/>
                <w14:textFill>
                  <w14:solidFill>
                    <w14:schemeClr w14:val="tx1"/>
                  </w14:solidFill>
                </w14:textFill>
              </w:rPr>
              <w:t>）等</w:t>
            </w:r>
            <w:bookmarkStart w:id="14" w:name="_GoBack"/>
            <w:bookmarkEnd w:id="14"/>
            <w:r>
              <w:rPr>
                <w:rFonts w:hint="eastAsia" w:ascii="仿宋_GB2312" w:hAnsi="仿宋_GB2312" w:eastAsia="仿宋_GB2312" w:cs="仿宋_GB2312"/>
                <w:color w:val="000000" w:themeColor="text1"/>
                <w:kern w:val="0"/>
                <w:szCs w:val="21"/>
                <w:lang w:bidi="ar"/>
                <w14:textFill>
                  <w14:solidFill>
                    <w14:schemeClr w14:val="tx1"/>
                  </w14:solidFill>
                </w14:textFill>
              </w:rPr>
              <w:t>相关规范性文件中环境风险防控要求。</w:t>
            </w:r>
          </w:p>
        </w:tc>
        <w:tc>
          <w:tcPr>
            <w:tcW w:w="2704" w:type="dxa"/>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color w:val="000000" w:themeColor="text1"/>
                <w:szCs w:val="21"/>
                <w14:textFill>
                  <w14:solidFill>
                    <w14:schemeClr w14:val="tx1"/>
                  </w14:solidFill>
                </w14:textFill>
              </w:rPr>
            </w:pP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祁连山北麓中东部山地针叶林水源涵养生态保护红线 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ZH62017120001</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机场北高新技术产业园区</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重点管控单元1</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6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1、严格执行园区规划环评及其审查意见对空间布局、选址的要求。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2、不得开展违反国家法律、法规、政策要求的开发建设活动。</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3、执行《关于加强高耗能、高排放建设项目生态环境源头防控的指导意见》（环环评〔2021〕45号）等相关要求。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6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1、按照规划环评相关要求加强污染物排放管控。</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2、确保企业污染防治设施正常运行，污染物稳定达标排放。</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3、规范固体废物管理、处置。</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6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1、机场北高新区位置较敏感，应建设建立废水三级防控体系，园区设置事故水池，防止废水排入山字墩水库。</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2、加强产业园区环境风险防控体系建设并编制应急预案，细化明确产业园区及区内企业环境风险防范责任，切实做好环境风险防范工作。</w:t>
            </w:r>
          </w:p>
        </w:tc>
        <w:tc>
          <w:tcPr>
            <w:tcW w:w="2704" w:type="dxa"/>
            <w:shd w:val="clear" w:color="auto" w:fill="auto"/>
            <w:tcMar>
              <w:top w:w="15" w:type="dxa"/>
              <w:left w:w="15" w:type="dxa"/>
              <w:right w:w="15" w:type="dxa"/>
            </w:tcMar>
            <w:vAlign w:val="center"/>
          </w:tcPr>
          <w:p>
            <w:pPr>
              <w:widowControl/>
              <w:snapToGrid w:val="0"/>
              <w:jc w:val="left"/>
              <w:textAlignment w:val="top"/>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执行全省和兰州新区生态环境总体准入清单中重点管控单元的资源利用效率要求。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 xml:space="preserve">大气环境高排放重点管控区 水环境工业污染重点管控区(青城桥II类)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ZH62017120002</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兰州新区综合保税区</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重点管控单元2</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1、严格执行园区规划环评及其审查意见对空间布局、选址的要求。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2、不得开展违反国家法律、法规、政策要求的开发建设活动。</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3、执行《关于“十四五”推进沿黄重点地区工业项目入园及严控高污染、高耗水、高耗能项目的通知》（发改办产业〔2021〕635号）等要求。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1、按照规划环评相关要求加强污染物排放管控，执行总量控制相关要求。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2、确保废（污）水全收集，水质稳定达标排放。保税区内企业废水达到接管要求，方可排入兰州新区市政污水管网。</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3、确保企业污染防治设施正常运行，污染物稳定达标排放。</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4、规范固体废物管理、处置。</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1、加强产业园区环境风险防控体系建设并编制应急预案，细化明确产业园区及区内企业环境风险防范责任，切实做好环境风险防范工作。</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2、加强应急救援队伍、装备和设施建设，储备必要的应急物资。定期开展突发环境事件应急演练，提高突发环境事件联防联控能力。</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强化土壤和地下水环境风险防控，按照《关于印发强化危险废物监管和利用处置能力改革实施方案的通知》（国办函〔2021〕47号）《关于提升危险废物环境监管能力、利用处置能力和环境风险防范能力的指导意见》（环固体〔2019〕92号）等相关要求加强危险废物环境风险管控。</w:t>
            </w:r>
          </w:p>
        </w:tc>
        <w:tc>
          <w:tcPr>
            <w:tcW w:w="2704" w:type="dxa"/>
            <w:shd w:val="clear" w:color="auto" w:fill="auto"/>
            <w:tcMar>
              <w:top w:w="15" w:type="dxa"/>
              <w:left w:w="15" w:type="dxa"/>
              <w:right w:w="15" w:type="dxa"/>
            </w:tcMar>
            <w:vAlign w:val="center"/>
          </w:tcPr>
          <w:p>
            <w:pPr>
              <w:widowControl/>
              <w:snapToGrid w:val="0"/>
              <w:jc w:val="left"/>
              <w:textAlignment w:val="top"/>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执行全省和兰州新区生态环境总体准入清单中重点管控单元的资源利用效率要求。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 xml:space="preserve">大气环境高排放重点管控区 水环境工业污染重点管控区(什川桥II类七里河桥III类)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ZH62017120003</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石化园区</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重点管控单元3</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1、严格执行园区规划环评及其审查意见对空间布局、选址的要求。</w:t>
            </w:r>
          </w:p>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2、不得开展违反国家法律、法规、政策要求的开发建设活动。</w:t>
            </w:r>
          </w:p>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执行《关于加强高耗能、高排放建设项目生态环境源头防控的指导意见》（环环评〔2021〕45号）、《关于“十四五”推进沿黄重点地区工业项目入园及严控高污染、高耗水、高耗能项目的通知》（发改办产业〔2021〕635号）等相关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1、按照规划环评相关要求加强污染物排放管控。</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2、确保企业污染防治设施正常运行，污染物稳定达标排放。</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3、规范固体废物管理、处置。</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4、执行《关于加强高耗能、高排放建设项目生态环境源头防控的指导意见》（环环评〔2021〕45号）中污染物排放相关要求。</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1、石化园区边界距离引大入秦东二干渠较近，加强水环境风险防范。</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2、加强产业园区环境风险防控体系建设并编制应急预案，细化明确产业园区及区内企业环境风险防范责任，与新区管委会应急预案做好衔接联动，切实做好环境风险防范工作。</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3、加强应急救援队伍、装备和设施建设，储备必要的应急物资。定期开展突发环境事件应急演练，提高突发环境事件联防联控能力。</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强化土壤和地下水环境风险防控，按照《关于印发强化危险废物监管和利用处置能力改革实施方案的通知》（国办函〔2021〕47号）《关于提升危险废物环境监管能力、利用处置能力和环境风险防范能力的指导意见》（环固体〔2019〕92号）等相关要求加强危险废物环境风险管控。</w:t>
            </w:r>
          </w:p>
        </w:tc>
        <w:tc>
          <w:tcPr>
            <w:tcW w:w="2704" w:type="dxa"/>
            <w:shd w:val="clear" w:color="auto" w:fill="auto"/>
            <w:tcMar>
              <w:top w:w="15" w:type="dxa"/>
              <w:left w:w="15" w:type="dxa"/>
              <w:right w:w="15" w:type="dxa"/>
            </w:tcMar>
            <w:vAlign w:val="center"/>
          </w:tcPr>
          <w:p>
            <w:pPr>
              <w:widowControl/>
              <w:snapToGrid w:val="0"/>
              <w:jc w:val="left"/>
              <w:textAlignment w:val="top"/>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执行全省和兰州新区生态环境总体准入清单中重点管控单元的资源利用效率要求。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 xml:space="preserve">大气环境高排放重点管控区 水环境工业污染重点管控区(什川桥II类七里河桥III类)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ZH62017120004</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兰州新区城镇空间</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重点管控单元4</w:t>
            </w:r>
          </w:p>
        </w:tc>
        <w:tc>
          <w:tcPr>
            <w:tcW w:w="3685" w:type="dxa"/>
            <w:shd w:val="clear" w:color="auto" w:fill="auto"/>
            <w:tcMar>
              <w:top w:w="15" w:type="dxa"/>
              <w:left w:w="15" w:type="dxa"/>
              <w:right w:w="15" w:type="dxa"/>
            </w:tcMar>
            <w:vAlign w:val="center"/>
          </w:tcPr>
          <w:p>
            <w:pPr>
              <w:keepNext w:val="0"/>
              <w:keepLines w:val="0"/>
              <w:pageBreakBefore w:val="0"/>
              <w:widowControl/>
              <w:numPr>
                <w:ilvl w:val="0"/>
                <w:numId w:val="3"/>
              </w:numPr>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执行全省及兰州新区生态环境总体准入清单中关于重点管控单元空间布局约束要求。</w:t>
            </w:r>
          </w:p>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2、执行《自然资源部关于做好城镇开发边界管理的通知（试行）》相关布局约束要求。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1、执行全省和兰州新区生态环境总体准入清单中重点管控单元的污染物排放管控要求。</w:t>
            </w:r>
          </w:p>
        </w:tc>
        <w:tc>
          <w:tcPr>
            <w:tcW w:w="4253" w:type="dxa"/>
            <w:shd w:val="clear" w:color="auto" w:fill="auto"/>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pacing w:line="280" w:lineRule="exact"/>
              <w:ind w:leftChars="0" w:right="0" w:right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执行全省及兰州新区生态环境总体准入清单中重点管控单元的环境风险防控要求。</w:t>
            </w:r>
          </w:p>
        </w:tc>
        <w:tc>
          <w:tcPr>
            <w:tcW w:w="2704" w:type="dxa"/>
            <w:shd w:val="clear" w:color="auto" w:fill="auto"/>
            <w:tcMar>
              <w:top w:w="15" w:type="dxa"/>
              <w:left w:w="15" w:type="dxa"/>
              <w:right w:w="15" w:type="dxa"/>
            </w:tcMar>
            <w:vAlign w:val="center"/>
          </w:tcPr>
          <w:p>
            <w:pPr>
              <w:widowControl/>
              <w:snapToGrid w:val="0"/>
              <w:jc w:val="left"/>
              <w:textAlignment w:val="top"/>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执行全省和兰州新区生态环境总体准入清单中重点管控单元的资源利用效率要求。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 xml:space="preserve">大气环境受体敏感重点管控区 水环境工业污染重点管控区(青城桥II类;什川桥II类七里河桥III类)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ZH62017120005</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szCs w:val="21"/>
              </w:rPr>
              <w:t>兰州新区重点管控单元01</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重点管控单元5</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1、执行全省及兰州新区生态环境总体准入清单中关于重点管控单元空间布局约束要求。落实主体功能区规划、国土空间规划等要求。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2、单元内的产业园区应严格执行园区规划环评及其审查意见对空间布局、选址的要求。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3、不得开展违反国家法律、法规、政策要求的开发建设活动。</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4、执行《关于加强高耗能、高排放建设项目生态环境源头防控的指导意见》（环环评〔2021〕45号）等相关要求。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1、执行全省和兰州新区生态环境总体准入清单中重点管控单元的污染物排放管控要求。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2、单元内的产业园区应按照规划环评相关要求加强污染物排放管控。确保企业污染防治设施正常运行，污染物稳定达标排放。规范固体废物管理、处置。</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3、执行《关于加强高耗能、高排放建设项目生态环境源头防控的指导意见》（环环评〔2021〕45号）中污染物排放相关要求。</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1、执行全省及兰州新区生态环境总体准入清单中重点管控单元的环境风险防控要求。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2、单元内产业园区应加强环境风险防控体系建设并编制应急预案，细化明确产业园区及区内企业环境风险防范责任，切实做好环境风险防范工作。</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强化土壤和地下水环境风险防控，按照《关于印发强化危险废物监管和利用处置能力改革实施方案的通知》（国办函〔2021〕47号）《关于提升危险废物环境监管能力、利用处置能力和环境风险防范能力的指导意见》（环固体〔2019〕92号）等相关要求加强危险废物环境风险管控。</w:t>
            </w:r>
          </w:p>
        </w:tc>
        <w:tc>
          <w:tcPr>
            <w:tcW w:w="2704" w:type="dxa"/>
            <w:shd w:val="clear" w:color="auto" w:fill="auto"/>
            <w:tcMar>
              <w:top w:w="15" w:type="dxa"/>
              <w:left w:w="15" w:type="dxa"/>
              <w:right w:w="15" w:type="dxa"/>
            </w:tcMar>
            <w:vAlign w:val="center"/>
          </w:tcPr>
          <w:p>
            <w:pPr>
              <w:widowControl/>
              <w:snapToGrid w:val="0"/>
              <w:jc w:val="left"/>
              <w:textAlignment w:val="top"/>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执行全省和兰州新区生态环境总体准入清单中重点管控单元的资源利用效率要求。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kern w:val="0"/>
                <w:szCs w:val="21"/>
                <w:lang w:bidi="ar"/>
                <w14:textFill>
                  <w14:solidFill>
                    <w14:schemeClr w14:val="tx1"/>
                  </w14:solidFill>
                </w14:textFill>
              </w:rPr>
            </w:pPr>
            <w:r>
              <w:rPr>
                <w:rFonts w:hint="eastAsia" w:ascii="仿宋_GB2312" w:hAnsi="仿宋_GB2312" w:eastAsia="仿宋_GB2312" w:cs="仿宋_GB2312"/>
                <w:szCs w:val="21"/>
              </w:rPr>
              <w:t xml:space="preserve">大气环境高排放重点管控区 水环境工业污染重点管控区(青城桥II类；什川桥II类七里河桥III类)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ZH62017120006</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兰州新区新材料产业园</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重点管控单元6</w:t>
            </w:r>
          </w:p>
        </w:tc>
        <w:tc>
          <w:tcPr>
            <w:tcW w:w="3685"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6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1、执行全省及兰州新区生态环境总体准入清单中关于重点管控单元空间布局约束要求。</w:t>
            </w:r>
          </w:p>
          <w:p>
            <w:pPr>
              <w:keepNext w:val="0"/>
              <w:keepLines w:val="0"/>
              <w:pageBreakBefore w:val="0"/>
              <w:widowControl/>
              <w:kinsoku/>
              <w:wordWrap/>
              <w:overflowPunct/>
              <w:topLinePunct w:val="0"/>
              <w:autoSpaceDE/>
              <w:autoSpaceDN/>
              <w:bidi w:val="0"/>
              <w:adjustRightInd/>
              <w:spacing w:line="26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2、严格执行园区规划环评及其审查意见对空间布局、选址的要求。</w:t>
            </w:r>
          </w:p>
          <w:p>
            <w:pPr>
              <w:keepNext w:val="0"/>
              <w:keepLines w:val="0"/>
              <w:pageBreakBefore w:val="0"/>
              <w:widowControl/>
              <w:kinsoku/>
              <w:wordWrap/>
              <w:overflowPunct/>
              <w:topLinePunct w:val="0"/>
              <w:autoSpaceDE/>
              <w:autoSpaceDN/>
              <w:bidi w:val="0"/>
              <w:adjustRightInd/>
              <w:snapToGrid w:val="0"/>
              <w:spacing w:line="26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3、执行《关于进一步加强产业园区规划环境影响评价工作的意见》《关于进一步优化环境影响评价工作的意见》等文件中的园区规划环评编制以及规划环评落实相关要求。</w:t>
            </w:r>
          </w:p>
          <w:p>
            <w:pPr>
              <w:keepNext w:val="0"/>
              <w:keepLines w:val="0"/>
              <w:pageBreakBefore w:val="0"/>
              <w:widowControl/>
              <w:kinsoku/>
              <w:wordWrap/>
              <w:overflowPunct/>
              <w:topLinePunct w:val="0"/>
              <w:autoSpaceDE/>
              <w:autoSpaceDN/>
              <w:bidi w:val="0"/>
              <w:adjustRightInd/>
              <w:snapToGrid w:val="0"/>
              <w:spacing w:line="26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4、执行《关于加强高耗能、高排放建设项目生态环境源头防控的指导意见》（环环评〔2021〕45 号）等相关要求。</w:t>
            </w:r>
          </w:p>
        </w:tc>
        <w:tc>
          <w:tcPr>
            <w:tcW w:w="4111"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1、执行全省和兰州新区生态环境总体准入清单中重点管控单元的污染物排放管控要求。</w:t>
            </w:r>
          </w:p>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2、严格执行行业排放标准和排污许可要求。</w:t>
            </w:r>
          </w:p>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textAlignment w:val="center"/>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3、落实规划环评结论及审查意见,对现有生态环境问题组织整改，落实污染物总量控制和减排任务,督促污染企业做好退出地块的土壤、地下水等风险防控工作。</w:t>
            </w:r>
          </w:p>
        </w:tc>
        <w:tc>
          <w:tcPr>
            <w:tcW w:w="4253" w:type="dxa"/>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1、执行全省及兰州新区生态环境总体准入清单中重点管控单元的环境风险防控要求。</w:t>
            </w:r>
          </w:p>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2、加强产业园区环境风险防控体系建设并编制应急预案，细化明确产业园区及区内企业环境风险防范责任，与新区管委会应急预案做好衔接联动，切实做好环境风险防范工作。</w:t>
            </w:r>
          </w:p>
          <w:p>
            <w:pPr>
              <w:keepNext w:val="0"/>
              <w:keepLines w:val="0"/>
              <w:pageBreakBefore w:val="0"/>
              <w:widowControl/>
              <w:kinsoku/>
              <w:wordWrap/>
              <w:overflowPunct/>
              <w:topLinePunct w:val="0"/>
              <w:autoSpaceDE/>
              <w:autoSpaceDN/>
              <w:bidi w:val="0"/>
              <w:adjustRightInd/>
              <w:snapToGrid w:val="0"/>
              <w:spacing w:line="280" w:lineRule="exact"/>
              <w:ind w:left="0" w:leftChars="0" w:right="0" w:rightChars="0" w:firstLine="0" w:firstLineChars="0"/>
              <w:jc w:val="left"/>
              <w:outlineLvl w:val="9"/>
              <w:rPr>
                <w:rFonts w:hint="eastAsia" w:ascii="仿宋_GB2312" w:hAnsi="仿宋_GB2312" w:eastAsia="仿宋_GB2312" w:cs="仿宋_GB2312"/>
                <w:color w:val="000000" w:themeColor="text1"/>
                <w:szCs w:val="21"/>
                <w14:textFill>
                  <w14:solidFill>
                    <w14:schemeClr w14:val="tx1"/>
                  </w14:solidFill>
                </w14:textFill>
              </w:rPr>
            </w:pPr>
          </w:p>
        </w:tc>
        <w:tc>
          <w:tcPr>
            <w:tcW w:w="2704" w:type="dxa"/>
            <w:shd w:val="clear" w:color="auto" w:fill="auto"/>
            <w:tcMar>
              <w:top w:w="15" w:type="dxa"/>
              <w:left w:w="15" w:type="dxa"/>
              <w:right w:w="15" w:type="dxa"/>
            </w:tcMar>
            <w:vAlign w:val="center"/>
          </w:tcPr>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1、执行全省和兰州新区生态环境总体准入清单中重点管控单元的资源利用效率要求。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2、项目应符合生态环境保护相关法律法规、法定规划以及相关产业结构调整、区域及行业碳达峰碳中和目标、煤炭消费总量控制等政策要求。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 xml:space="preserve">大气环境高排放重点管控区 水环境工业污染重点管控区(青城桥II类；什川桥II类七里河桥III类)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40"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ZH62017120007</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兰州新区化工园区</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重点管控单元7</w:t>
            </w:r>
          </w:p>
        </w:tc>
        <w:tc>
          <w:tcPr>
            <w:tcW w:w="3685" w:type="dxa"/>
            <w:shd w:val="clear" w:color="auto" w:fill="auto"/>
            <w:tcMar>
              <w:top w:w="15" w:type="dxa"/>
              <w:left w:w="15" w:type="dxa"/>
              <w:right w:w="15" w:type="dxa"/>
            </w:tcMar>
            <w:vAlign w:val="center"/>
          </w:tcPr>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1、执行全省及兰州新区生态环境总体准入清单中关于重点管控单元空间布局约束要求。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2、严格执行园区规划环评及其审查意见对空间布局、选址的要求。项目选址应符合生态环境分区管控要求，不得位于法律法规明令禁止建设的区域，应符合相关规划及规划环境影响评价要求。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3、执行《关于进一步加强产业园区规划环境影响评价工作的意见》《关于进一步优化环境影响评价工作的意见》等文件中的园区规划环评编制以及规划环评落实相关要求。</w:t>
            </w:r>
          </w:p>
          <w:p>
            <w:pPr>
              <w:widowControl/>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4、执行《关于加强高耗能、高排放建设项目生态环境源头防控的指导意见》（环环评〔2021〕45 号）等相关要求。</w:t>
            </w:r>
          </w:p>
        </w:tc>
        <w:tc>
          <w:tcPr>
            <w:tcW w:w="4111" w:type="dxa"/>
            <w:shd w:val="clear" w:color="auto" w:fill="auto"/>
            <w:tcMar>
              <w:top w:w="15" w:type="dxa"/>
              <w:left w:w="15" w:type="dxa"/>
              <w:right w:w="15" w:type="dxa"/>
            </w:tcMar>
            <w:vAlign w:val="center"/>
          </w:tcPr>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1、执行全省和兰州新区生态环境总体准入清单中重点管控单元的污染物排放管控要求。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2、项目应符合生态环境保护相关法律法规、法定规划以及相关产业结构调整、区域及行业碳达峰碳中和目标、重点污染物总量控制等政策要求。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3、落实规划环评结论及审查意见,对现有生态环境问题组织整改，落实污染物总量控制和减排任务,督促污染企业做好退出地块的土壤、地下水等风险防控工作。</w:t>
            </w:r>
          </w:p>
        </w:tc>
        <w:tc>
          <w:tcPr>
            <w:tcW w:w="4253" w:type="dxa"/>
            <w:shd w:val="clear" w:color="auto" w:fill="auto"/>
            <w:tcMar>
              <w:top w:w="15" w:type="dxa"/>
              <w:left w:w="15" w:type="dxa"/>
              <w:right w:w="15" w:type="dxa"/>
            </w:tcMar>
            <w:vAlign w:val="center"/>
          </w:tcPr>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1、执行全省及兰州新区生态环境总体准入清单中重点管控单元的环境风险防控要求。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2、加强产业园区环境风险防控体系建设并编制应急预案，细化明确产业园区及区内企业环境风险防范责任，与地方政府应急预案做好衔接联动，切实做好环境风险防范工作。</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3、严密防控项目环境风险，建立完善的环境风险防控体系，提升环境风险防控能力，环境风险防范和应急措施合理、有效。确保具备事故废水有效收集和妥善处理的能力。针对项目可能产生的突发环境事件制定有效的风险防范和应急措施，建立项目及区域、园区环境风险防范与应急管理体系。</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4、强化土壤和地下水环境风险防控，按照《关于印发强化危险废物监管和利用处置能力改革实施方案的通知》（国办函〔2021〕47 号）《关于提升危险废物环境监管能力、利用处置能力和环境风险防范能力的指导意见》（环固体〔2019〕92号）等相关要求加强危险废物环境风险管控。</w:t>
            </w:r>
          </w:p>
        </w:tc>
        <w:tc>
          <w:tcPr>
            <w:tcW w:w="2704" w:type="dxa"/>
            <w:shd w:val="clear" w:color="auto" w:fill="auto"/>
            <w:tcMar>
              <w:top w:w="15" w:type="dxa"/>
              <w:left w:w="15" w:type="dxa"/>
              <w:right w:w="15" w:type="dxa"/>
            </w:tcMar>
            <w:vAlign w:val="center"/>
          </w:tcPr>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1、执行全省和兰州新区生态环境总体准入清单中重点管控单元的资源利用效率要求。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2、项目应符合生态环境保护相关法律法规、法定规划以及相关产业结构调整、区域及行业碳达峰碳中和目标、煤炭消费总量控制等政策要求。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大气环境高排放重点管控区 水环境工业污染重点管控区(什川桥II类七里河桥III类)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51" w:hRule="atLeast"/>
          <w:jc w:val="center"/>
        </w:trPr>
        <w:tc>
          <w:tcPr>
            <w:tcW w:w="1849"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ZH62017120008</w:t>
            </w:r>
          </w:p>
        </w:tc>
        <w:tc>
          <w:tcPr>
            <w:tcW w:w="992" w:type="dxa"/>
            <w:shd w:val="clear" w:color="auto" w:fill="auto"/>
            <w:tcMar>
              <w:top w:w="15" w:type="dxa"/>
              <w:left w:w="15" w:type="dxa"/>
              <w:right w:w="15" w:type="dxa"/>
            </w:tcMar>
            <w:vAlign w:val="center"/>
          </w:tcPr>
          <w:p>
            <w:pPr>
              <w:widowControl/>
              <w:jc w:val="center"/>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szCs w:val="21"/>
              </w:rPr>
              <w:t>兰州新区重点管控单元02</w:t>
            </w:r>
          </w:p>
        </w:tc>
        <w:tc>
          <w:tcPr>
            <w:tcW w:w="42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5"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283"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兰州新区</w:t>
            </w:r>
          </w:p>
        </w:tc>
        <w:tc>
          <w:tcPr>
            <w:tcW w:w="851" w:type="dxa"/>
            <w:shd w:val="clear" w:color="auto" w:fill="auto"/>
            <w:tcMar>
              <w:top w:w="15" w:type="dxa"/>
              <w:left w:w="15" w:type="dxa"/>
              <w:right w:w="15" w:type="dxa"/>
            </w:tcMar>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重点管控单元8</w:t>
            </w:r>
          </w:p>
        </w:tc>
        <w:tc>
          <w:tcPr>
            <w:tcW w:w="3685" w:type="dxa"/>
            <w:shd w:val="clear" w:color="auto" w:fill="auto"/>
            <w:tcMar>
              <w:top w:w="15" w:type="dxa"/>
              <w:left w:w="15" w:type="dxa"/>
              <w:right w:w="15" w:type="dxa"/>
            </w:tcMar>
            <w:vAlign w:val="center"/>
          </w:tcPr>
          <w:p>
            <w:pPr>
              <w:widowControl/>
              <w:snapToGrid w:val="0"/>
              <w:jc w:val="left"/>
              <w:textAlignment w:val="center"/>
              <w:rPr>
                <w:rFonts w:hint="eastAsia" w:ascii="仿宋_GB2312" w:hAnsi="仿宋_GB2312" w:eastAsia="仿宋_GB2312" w:cs="仿宋_GB2312"/>
                <w:color w:val="000000" w:themeColor="text1"/>
                <w:szCs w:val="21"/>
                <w14:textFill>
                  <w14:solidFill>
                    <w14:schemeClr w14:val="tx1"/>
                  </w14:solidFill>
                </w14:textFill>
              </w:rPr>
            </w:pPr>
            <w:bookmarkStart w:id="7" w:name="OLE_LINK10"/>
            <w:r>
              <w:rPr>
                <w:rFonts w:hint="eastAsia" w:ascii="仿宋_GB2312" w:hAnsi="仿宋_GB2312" w:eastAsia="仿宋_GB2312" w:cs="仿宋_GB2312"/>
                <w:color w:val="000000" w:themeColor="text1"/>
                <w:szCs w:val="21"/>
                <w14:textFill>
                  <w14:solidFill>
                    <w14:schemeClr w14:val="tx1"/>
                  </w14:solidFill>
                </w14:textFill>
              </w:rPr>
              <w:t>1、执行全省及兰州新区生态环境总体准入清单中关于重点管控单元空间布局约束要求。落实主体功能区规划、国土空间规划等要求。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2、不得开展违反国家法律、法规、政策要求的开发建设活动。</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3、执行《关于加强高耗能、高排放建设项目生态环境源头防控的指导意见》（环环评〔2021〕45号）等相关要求。</w:t>
            </w:r>
            <w:bookmarkEnd w:id="7"/>
          </w:p>
        </w:tc>
        <w:tc>
          <w:tcPr>
            <w:tcW w:w="4111" w:type="dxa"/>
            <w:shd w:val="clear" w:color="auto" w:fill="auto"/>
            <w:tcMar>
              <w:top w:w="15" w:type="dxa"/>
              <w:left w:w="15" w:type="dxa"/>
              <w:right w:w="15" w:type="dxa"/>
            </w:tcMar>
            <w:vAlign w:val="center"/>
          </w:tcPr>
          <w:p>
            <w:pPr>
              <w:widowControl/>
              <w:snapToGrid w:val="0"/>
              <w:jc w:val="left"/>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1、执行全省和兰州新区生态环境总体准入清单中重点管控单元的污染物排放管控要求。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2、执行《关于加强高耗能、高排放建设项目生态环境源头防控的指导意见》（环环评〔2021〕45号）中污染物排放相关要求。</w:t>
            </w:r>
          </w:p>
        </w:tc>
        <w:tc>
          <w:tcPr>
            <w:tcW w:w="4253" w:type="dxa"/>
            <w:shd w:val="clear" w:color="auto" w:fill="auto"/>
            <w:tcMar>
              <w:top w:w="15" w:type="dxa"/>
              <w:left w:w="15" w:type="dxa"/>
              <w:right w:w="15" w:type="dxa"/>
            </w:tcMar>
            <w:vAlign w:val="center"/>
          </w:tcPr>
          <w:p>
            <w:pPr>
              <w:widowControl/>
              <w:snapToGrid w:val="0"/>
              <w:jc w:val="left"/>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1、执行全省及兰州新区生态环境总体准入清单中重点管控单元的环境风险防控要求。</w:t>
            </w:r>
            <w:r>
              <w:rPr>
                <w:rFonts w:hint="eastAsia" w:ascii="仿宋_GB2312" w:hAnsi="仿宋_GB2312" w:eastAsia="仿宋_GB2312" w:cs="仿宋_GB2312"/>
                <w:color w:val="000000" w:themeColor="text1"/>
                <w:szCs w:val="21"/>
                <w14:textFill>
                  <w14:solidFill>
                    <w14:schemeClr w14:val="tx1"/>
                  </w14:solidFill>
                </w14:textFill>
              </w:rPr>
              <w:br w:type="textWrapping"/>
            </w:r>
            <w:r>
              <w:rPr>
                <w:rFonts w:hint="eastAsia" w:ascii="仿宋_GB2312" w:hAnsi="仿宋_GB2312" w:eastAsia="仿宋_GB2312" w:cs="仿宋_GB2312"/>
                <w:color w:val="000000" w:themeColor="text1"/>
                <w:szCs w:val="21"/>
                <w14:textFill>
                  <w14:solidFill>
                    <w14:schemeClr w14:val="tx1"/>
                  </w14:solidFill>
                </w14:textFill>
              </w:rPr>
              <w:t>2、强化土壤和地下水环境风险防控，按照《关于印发强化危险废物监管和利用处置能力改革实施方案的通知》（国办函〔2021〕47号）《关于提升危险废物环境监管能力、利用处置能力和环境风险防范能力的指导意见》（环固体〔2019〕92号）等相关要求加强危险废物环境风险管控。</w:t>
            </w:r>
          </w:p>
        </w:tc>
        <w:tc>
          <w:tcPr>
            <w:tcW w:w="2704" w:type="dxa"/>
            <w:shd w:val="clear" w:color="auto" w:fill="auto"/>
            <w:tcMar>
              <w:top w:w="15" w:type="dxa"/>
              <w:left w:w="15" w:type="dxa"/>
              <w:right w:w="15" w:type="dxa"/>
            </w:tcMar>
            <w:vAlign w:val="center"/>
          </w:tcPr>
          <w:p>
            <w:pPr>
              <w:widowControl/>
              <w:snapToGrid w:val="0"/>
              <w:jc w:val="left"/>
              <w:textAlignment w:val="top"/>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执行全省和兰州新区生态环境总体准入清单中重点管控单元的资源利用效率要求。</w:t>
            </w:r>
          </w:p>
        </w:tc>
        <w:tc>
          <w:tcPr>
            <w:tcW w:w="1973" w:type="dxa"/>
            <w:shd w:val="clear" w:color="auto" w:fill="auto"/>
            <w:tcMar>
              <w:top w:w="15" w:type="dxa"/>
              <w:left w:w="15" w:type="dxa"/>
              <w:right w:w="15" w:type="dxa"/>
            </w:tcMar>
            <w:vAlign w:val="center"/>
          </w:tcPr>
          <w:p>
            <w:pPr>
              <w:widowControl/>
              <w:jc w:val="left"/>
              <w:textAlignment w:val="bottom"/>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szCs w:val="21"/>
              </w:rPr>
              <w:t xml:space="preserve">水环境工业污染重点管控区(什川桥II类七里河桥III类) </w:t>
            </w:r>
          </w:p>
        </w:tc>
      </w:tr>
    </w:tbl>
    <w:p>
      <w:pPr>
        <w:pStyle w:val="42"/>
        <w:rPr>
          <w:rFonts w:hint="eastAsia" w:ascii="仿宋_GB2312" w:hAnsi="仿宋_GB2312" w:eastAsia="仿宋_GB2312" w:cs="仿宋_GB2312"/>
          <w:color w:val="000000" w:themeColor="text1"/>
          <w:szCs w:val="21"/>
          <w14:textFill>
            <w14:solidFill>
              <w14:schemeClr w14:val="tx1"/>
            </w14:solidFill>
          </w14:textFill>
        </w:rPr>
      </w:pPr>
      <w:bookmarkStart w:id="8" w:name="_Toc151914039"/>
      <w:bookmarkStart w:id="9" w:name="_Hlk42328800"/>
    </w:p>
    <w:p>
      <w:pPr>
        <w:pStyle w:val="42"/>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表</w:t>
      </w:r>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3</w:t>
      </w: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 xml:space="preserve">  兰州</w:t>
      </w:r>
      <w:r>
        <w:rPr>
          <w:rFonts w:hint="eastAsia"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t>新区（规划协调区）</w:t>
      </w:r>
      <w:r>
        <w:rPr>
          <w:rFonts w:hint="eastAsia" w:ascii="方正小标宋简体" w:hAnsi="方正小标宋简体" w:eastAsia="方正小标宋简体" w:cs="方正小标宋简体"/>
          <w:b w:val="0"/>
          <w:bCs w:val="0"/>
          <w:color w:val="000000" w:themeColor="text1"/>
          <w:sz w:val="32"/>
          <w:szCs w:val="32"/>
          <w14:textFill>
            <w14:solidFill>
              <w14:schemeClr w14:val="tx1"/>
            </w14:solidFill>
          </w14:textFill>
        </w:rPr>
        <w:t>生态环境准入清单</w:t>
      </w:r>
      <w:bookmarkEnd w:id="8"/>
    </w:p>
    <w:bookmarkEnd w:id="9"/>
    <w:p>
      <w:pPr>
        <w:tabs>
          <w:tab w:val="left" w:pos="50"/>
        </w:tabs>
        <w:rPr>
          <w:rFonts w:hint="eastAsia" w:ascii="仿宋_GB2312" w:hAnsi="仿宋_GB2312" w:eastAsia="仿宋_GB2312" w:cs="仿宋_GB2312"/>
          <w:color w:val="000000" w:themeColor="text1"/>
          <w:szCs w:val="21"/>
          <w14:textFill>
            <w14:solidFill>
              <w14:schemeClr w14:val="tx1"/>
            </w14:solidFill>
          </w14:textFill>
        </w:rPr>
      </w:pPr>
    </w:p>
    <w:tbl>
      <w:tblPr>
        <w:tblStyle w:val="164"/>
        <w:tblW w:w="21972" w:type="dxa"/>
        <w:jc w:val="center"/>
        <w:tblInd w:w="8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069"/>
        <w:gridCol w:w="450"/>
        <w:gridCol w:w="412"/>
        <w:gridCol w:w="394"/>
        <w:gridCol w:w="994"/>
        <w:gridCol w:w="3412"/>
        <w:gridCol w:w="4125"/>
        <w:gridCol w:w="4257"/>
        <w:gridCol w:w="2904"/>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1968"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环境管控单元编码</w:t>
            </w:r>
          </w:p>
        </w:tc>
        <w:tc>
          <w:tcPr>
            <w:tcW w:w="1069"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环境管控单元名称</w:t>
            </w:r>
          </w:p>
        </w:tc>
        <w:tc>
          <w:tcPr>
            <w:tcW w:w="1256" w:type="dxa"/>
            <w:gridSpan w:val="3"/>
            <w:shd w:val="clear" w:color="auto" w:fill="auto"/>
            <w:vAlign w:val="center"/>
          </w:tcPr>
          <w:p>
            <w:pPr>
              <w:widowControl/>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行政区划</w:t>
            </w:r>
          </w:p>
        </w:tc>
        <w:tc>
          <w:tcPr>
            <w:tcW w:w="994"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管控单元分类</w:t>
            </w:r>
          </w:p>
        </w:tc>
        <w:tc>
          <w:tcPr>
            <w:tcW w:w="3412"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空间布局约束</w:t>
            </w:r>
          </w:p>
        </w:tc>
        <w:tc>
          <w:tcPr>
            <w:tcW w:w="4125"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污染物排放管控</w:t>
            </w:r>
          </w:p>
        </w:tc>
        <w:tc>
          <w:tcPr>
            <w:tcW w:w="4257"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环境风险防控</w:t>
            </w:r>
          </w:p>
        </w:tc>
        <w:tc>
          <w:tcPr>
            <w:tcW w:w="2904"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资源利用效率要求</w:t>
            </w:r>
          </w:p>
        </w:tc>
        <w:tc>
          <w:tcPr>
            <w:tcW w:w="1987" w:type="dxa"/>
            <w:vMerge w:val="restart"/>
            <w:shd w:val="clear" w:color="auto" w:fill="auto"/>
            <w:vAlign w:val="center"/>
          </w:tcPr>
          <w:p>
            <w:pPr>
              <w:jc w:val="center"/>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1968"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1069"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县</w:t>
            </w:r>
          </w:p>
        </w:tc>
        <w:tc>
          <w:tcPr>
            <w:tcW w:w="994"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3412"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4125"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4257"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2904" w:type="dxa"/>
            <w:vMerge w:val="continue"/>
            <w:shd w:val="clear" w:color="auto" w:fill="auto"/>
            <w:vAlign w:val="center"/>
          </w:tcPr>
          <w:p>
            <w:pPr>
              <w:widowControl/>
              <w:jc w:val="center"/>
              <w:rPr>
                <w:rFonts w:hint="eastAsia" w:ascii="仿宋_GB2312" w:hAnsi="仿宋_GB2312" w:eastAsia="仿宋_GB2312" w:cs="仿宋_GB2312"/>
                <w:color w:val="000000"/>
                <w:kern w:val="0"/>
                <w:szCs w:val="21"/>
              </w:rPr>
            </w:pPr>
          </w:p>
        </w:tc>
        <w:tc>
          <w:tcPr>
            <w:tcW w:w="1987" w:type="dxa"/>
            <w:vMerge w:val="continue"/>
            <w:shd w:val="clear" w:color="auto" w:fill="auto"/>
            <w:vAlign w:val="center"/>
          </w:tcPr>
          <w:p>
            <w:pPr>
              <w:widowControl/>
              <w:rPr>
                <w:rFonts w:hint="eastAsia" w:ascii="仿宋_GB2312" w:hAnsi="仿宋_GB2312" w:eastAsia="仿宋_GB2312" w:cs="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6"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ZH62012210001</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皋兰县黑石川水库水源地</w:t>
            </w:r>
          </w:p>
        </w:tc>
        <w:tc>
          <w:tcPr>
            <w:tcW w:w="450" w:type="dxa"/>
            <w:shd w:val="clear" w:color="auto" w:fill="auto"/>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甘肃省</w:t>
            </w:r>
          </w:p>
        </w:tc>
        <w:tc>
          <w:tcPr>
            <w:tcW w:w="412" w:type="dxa"/>
            <w:shd w:val="clear" w:color="auto" w:fill="auto"/>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兰州市</w:t>
            </w:r>
          </w:p>
        </w:tc>
        <w:tc>
          <w:tcPr>
            <w:tcW w:w="394" w:type="dxa"/>
            <w:shd w:val="clear" w:color="auto" w:fill="auto"/>
            <w:vAlign w:val="center"/>
          </w:tcPr>
          <w:p>
            <w:pPr>
              <w:widowControl/>
              <w:snapToGrid w:val="0"/>
              <w:jc w:val="center"/>
              <w:textAlignment w:val="cente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皋兰县</w:t>
            </w:r>
          </w:p>
        </w:tc>
        <w:tc>
          <w:tcPr>
            <w:tcW w:w="994" w:type="dxa"/>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优先保护单元1</w:t>
            </w:r>
          </w:p>
        </w:tc>
        <w:tc>
          <w:tcPr>
            <w:tcW w:w="3412"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执行《中华人民共和国水污染防治法》（2017年修正）《饮用水水源保护区污染防治管理规定》（2010年修正）《集中式饮用水水源环境保护指南（试行）》《兰州市城市生活饮用水水源保护和污染防治办法》中禁止、限制类、淘汰退出、关停相关要求。</w:t>
            </w:r>
          </w:p>
        </w:tc>
        <w:tc>
          <w:tcPr>
            <w:tcW w:w="4125"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执行《中华人民共和国水污染防治法》（2017年修正）《饮用水水源保护区污染防治管理规定》（2010年修正）《集中式饮用水水源环境保护指南（试行）》《兰州市城市生活饮用水水源保护和污染防治办法》中污染物排放管控相关要求。</w:t>
            </w:r>
          </w:p>
        </w:tc>
        <w:tc>
          <w:tcPr>
            <w:tcW w:w="4257"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执行《中华人民共和国水污染防治法》（2017年修正）《饮用水水源保护区污染防治管理规定》（2010年修正）《集中式饮用水水源环境保护指南（试行）》中环境风险防控相关要求，加强固定风险源、流动风险源等风险源管理，防止有毒有害物质泄漏进入水体。</w:t>
            </w:r>
          </w:p>
          <w:p>
            <w:pPr>
              <w:widowControl/>
              <w:jc w:val="left"/>
              <w:rPr>
                <w:rFonts w:hint="eastAsia" w:ascii="仿宋_GB2312" w:hAnsi="仿宋_GB2312" w:eastAsia="仿宋_GB2312" w:cs="仿宋_GB2312"/>
                <w:color w:val="000000"/>
                <w:kern w:val="0"/>
                <w:szCs w:val="21"/>
              </w:rPr>
            </w:pPr>
          </w:p>
        </w:tc>
        <w:tc>
          <w:tcPr>
            <w:tcW w:w="290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w:t>
            </w: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水环境优先保护区 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865"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ZH62012210002</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皋兰县自来水公司水库水源地</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优先保护单元2</w:t>
            </w:r>
          </w:p>
        </w:tc>
        <w:tc>
          <w:tcPr>
            <w:tcW w:w="3412"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严格执行《中华人民共和国水法》《中华人民共和国水污染防治法》《饮用水水源保护区污染防治管理规定》《兰州市城市生活饮用水源保护和污染防治办法》等。</w:t>
            </w:r>
          </w:p>
        </w:tc>
        <w:tc>
          <w:tcPr>
            <w:tcW w:w="4125"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严格执行《中华人民共和国水污染防治法》、《饮用水水源保护区污染防治管理规定》、《兰州市城市生活饮用水源保护和污染防治办法》相关规定执行。</w:t>
            </w:r>
          </w:p>
        </w:tc>
        <w:tc>
          <w:tcPr>
            <w:tcW w:w="4257"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1、推进饮用水水源保护区隔离和防护设施建设，提升饮用水水源保护区应急管理水平。</w:t>
            </w:r>
          </w:p>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2、完善环境突发事故应急预案，加强环境风险防控体系建设。</w:t>
            </w:r>
          </w:p>
        </w:tc>
        <w:tc>
          <w:tcPr>
            <w:tcW w:w="290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w:t>
            </w: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陇中黄土低山丘陵水土保持—水源涵养生态保护红线 水环境优先保护区 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37"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ZH62012210003</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一般生态空间</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优先保护单元3</w:t>
            </w:r>
          </w:p>
        </w:tc>
        <w:tc>
          <w:tcPr>
            <w:tcW w:w="3412"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1、执行甘肃省及兰州市总体准入要求中关于一般生态空间的管控要求。</w:t>
            </w:r>
          </w:p>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2、因地制宜发展不影响主体功能定位的适宜产业，限制进行大规模高强度工业化城镇化开发。</w:t>
            </w:r>
          </w:p>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3、一般生态空间内的各类法定保护地，按照对应的保护地法律、法规、条例进行管理，功能属性交叉的，按照管控要求严格程度，从严管理；尚未有管理要求的一般生态空间，按照区域主导生态功能，主要限制有损生态服务功能和进一步加剧生态敏感性的行为，确需进行的开发建设活动，需经环境影响评价严格论证。</w:t>
            </w:r>
          </w:p>
        </w:tc>
        <w:tc>
          <w:tcPr>
            <w:tcW w:w="4125"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一般生态空间内的生产经营活动不得影响区域环境质量，污染物排放必须满足相应的污染物排放标准要求。</w:t>
            </w:r>
          </w:p>
        </w:tc>
        <w:tc>
          <w:tcPr>
            <w:tcW w:w="4257"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加强区域内环境风险防控，不得损害生物多样性维持与生境保护、水源涵养、营养物质保持等生态服务功能。在进行各类建设开发活动前，应加强对生物多样性影响的评估。</w:t>
            </w:r>
          </w:p>
        </w:tc>
        <w:tc>
          <w:tcPr>
            <w:tcW w:w="290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执行甘肃省及兰州市总体准入要求中关于资源利用效率要求。</w:t>
            </w:r>
          </w:p>
        </w:tc>
        <w:tc>
          <w:tcPr>
            <w:tcW w:w="1987" w:type="dxa"/>
            <w:shd w:val="clear" w:color="auto" w:fill="auto"/>
            <w:vAlign w:val="center"/>
          </w:tcPr>
          <w:p>
            <w:pP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5"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ZH62012210004</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兰州新区石门沟水库饮用水水源地</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优先保护单元4</w:t>
            </w:r>
          </w:p>
        </w:tc>
        <w:tc>
          <w:tcPr>
            <w:tcW w:w="3412"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严格执行《中华人民共和国水法》《中华人民共和国水污染防治法》《饮用水水源保护区污染防治管理规定》《兰州市城市生活饮用水源保护和污染防治办法》等。</w:t>
            </w:r>
          </w:p>
        </w:tc>
        <w:tc>
          <w:tcPr>
            <w:tcW w:w="4125"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严格执行《中华人民共和国水污染防治法》、《饮用水水源保护区污染防治管理规定》、《兰州市城市生活饮用水源保护和污染防治办法》相关规定执行。</w:t>
            </w:r>
          </w:p>
        </w:tc>
        <w:tc>
          <w:tcPr>
            <w:tcW w:w="4257"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1、推进饮用水水源保护区隔离和防护设施建设，提升饮用水水源保护区应急管理水平。</w:t>
            </w:r>
          </w:p>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2、完善环境突发事故应急预案，加强环境风险防控体系建设。</w:t>
            </w:r>
          </w:p>
        </w:tc>
        <w:tc>
          <w:tcPr>
            <w:tcW w:w="2904" w:type="dxa"/>
            <w:shd w:val="clear" w:color="auto" w:fill="auto"/>
            <w:vAlign w:val="center"/>
          </w:tcPr>
          <w:p>
            <w:pPr>
              <w:widowControl/>
              <w:jc w:val="left"/>
              <w:rPr>
                <w:rFonts w:hint="eastAsia" w:ascii="仿宋_GB2312" w:hAnsi="仿宋_GB2312" w:eastAsia="仿宋_GB2312" w:cs="仿宋_GB2312"/>
                <w:color w:val="000000"/>
                <w:kern w:val="0"/>
                <w:szCs w:val="21"/>
              </w:rPr>
            </w:pP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陇中黄土低山丘陵水土保持—水源涵养生态保护红线 水环境优先保护区 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360"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ZH62012220001</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皋兰县城镇空间</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重点管控单元1</w:t>
            </w:r>
          </w:p>
        </w:tc>
        <w:tc>
          <w:tcPr>
            <w:tcW w:w="3412"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1、执行兰州市和皋兰县空间布局约束准入要求。</w:t>
            </w:r>
          </w:p>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2、严格执行大气污染防治年度计划，全面开展大气污染防治工作，严禁焚烧秸秆、垃圾和枯枝落叶，禁止新建燃煤小锅炉，加强城镇扬尘污染管控。</w:t>
            </w:r>
          </w:p>
        </w:tc>
        <w:tc>
          <w:tcPr>
            <w:tcW w:w="4125"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1、执行甘肃省及兰州市总体准入要求中重点管控单元的污染物排放管控要求。</w:t>
            </w:r>
          </w:p>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2、严格控制大气污染物排放，布局敏感区内禁止新建、扩建影响大气环境质量的建设项目。全面开展大气污染防治工作，严禁焚烧秸秆、垃圾和枯枝落叶，禁止新建燃煤小锅炉，加强城镇扬尘污染管控。</w:t>
            </w:r>
          </w:p>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3、提高城镇污水收集处理率。</w:t>
            </w:r>
          </w:p>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4、开展涉水工业企业排查，限期整改不能稳定达标排放的工业企业废水治理设施，督促企业按期完成改造任务。</w:t>
            </w:r>
          </w:p>
        </w:tc>
        <w:tc>
          <w:tcPr>
            <w:tcW w:w="4257"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1、执行甘肃省及兰州市总体准入要求中重点管控单元的环境风险防控要求。</w:t>
            </w:r>
          </w:p>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2、应制定完善重大污染事件应急预案，建立重污染天气监测预警体系，加强风险防控体系建设。强化应急物资储备和救援队伍建设，完善应急预案，加强风险防控体系建设。</w:t>
            </w:r>
          </w:p>
        </w:tc>
        <w:tc>
          <w:tcPr>
            <w:tcW w:w="290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执行甘肃省及兰州市总体准入要求中重点管控单元的资源利用效率要求。在禁燃区内，禁止使用、销售高污染燃料。</w:t>
            </w: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大气环境受体敏感重点管控区 水环境工业污染重点管控区(青城桥II类) 高污染燃料禁燃区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40"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ZH62012220002</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皋兰黑石工业园区</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重点管控单元2</w:t>
            </w:r>
          </w:p>
        </w:tc>
        <w:tc>
          <w:tcPr>
            <w:tcW w:w="3412"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1、园区按照《兰州市开发区总体规划》（2015 年-2020 年）规划布局，重点发展冶金铸造、新型建材、装备制造、碳化硅等产业。在组织实施过程中，严格按照全市及皋兰县土地利用总体规划、城市总体规划的要求，认真履行建设项目用地报批手续。</w:t>
            </w:r>
          </w:p>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2、严格按照国家产业指导目录，根据园区规划环评，结合产业布局和产业政策，严把项目备案审核关。</w:t>
            </w:r>
          </w:p>
        </w:tc>
        <w:tc>
          <w:tcPr>
            <w:tcW w:w="412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1、执行规划环评要求的污染物排放总量要求。</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2、火电、钢铁、石化、水泥、有色、化工等六大行业以及燃煤锅炉项目执行大气污染物特别排放限值。</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3、根据规划报告、规划批复、规划环评报告、规划环评批复要求，实施污染物排放管控。</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4、由于园区内企业类型较多，按照国家综合排放标准和国家行业排放标准不交叉执行的原则，有行业排放标准的执行行业标准；没有行业标准的，大气污染源执行《大气污染物综合排放标准》(GB16297-1996)（新标准实施后则执行新标准）及《恶臭污染物排放标准》(GB14554-1993）中二级标准；企业废水经预处理达到行业间接排放标准后排入园区污水处理厂，处理排放执行《污水综合排放标准》(GB8978-1996）中一级标准，回用于浇洒道路、绿化、城市景观用水、生态用水等执行相关标准。</w:t>
            </w:r>
          </w:p>
        </w:tc>
        <w:tc>
          <w:tcPr>
            <w:tcW w:w="4257"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1、执行甘肃省及兰州市总体准入要求中重点管控单元的环境风险防控要求。</w:t>
            </w:r>
          </w:p>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2、强化应急物资储备和救援队伍建设，完善应急预案，加强风险防控体系建设，定期开展环境应急演练。</w:t>
            </w:r>
          </w:p>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3、开展园区环境风险评估、突发环境事件应急预案、应急物资调查报告的编制工作。每三年开展应急预案的修订工作。</w:t>
            </w:r>
          </w:p>
        </w:tc>
        <w:tc>
          <w:tcPr>
            <w:tcW w:w="2904" w:type="dxa"/>
            <w:shd w:val="clear" w:color="auto" w:fill="auto"/>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1、执行甘肃省及兰州市总体准入要求中重点管控单元的资源利用效率要求。</w:t>
            </w:r>
          </w:p>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2、根据规划报告、规划批复、规划环评报告、规划环评批复要求，实施资源开发效率要求。</w:t>
            </w:r>
          </w:p>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3、以“减量化、再利用、资源化”为原则，实现资源的高效利用、循环利用和废弃物的无害化处理。</w:t>
            </w: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xml:space="preserve">大气环境高排放重点管控区 水环境工业污染重点管控区(青城桥II类)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ZH62012220003</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皋兰三川口工业园区</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重点管控单元3</w:t>
            </w:r>
          </w:p>
        </w:tc>
        <w:tc>
          <w:tcPr>
            <w:tcW w:w="3412" w:type="dxa"/>
            <w:shd w:val="clear" w:color="auto" w:fill="auto"/>
            <w:vAlign w:val="center"/>
          </w:tcPr>
          <w:p>
            <w:pPr>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严把新建项目准入关，严格控制高耗能、高污染行业新增产能，遏制盲目重复建设钢铁、焦化、电解铝、水泥、平板玻璃等“两高”行业项目。对产能严重过剩行业，必须严格执行国家产业政策，实施减量置换，严禁新增产能。</w:t>
            </w:r>
          </w:p>
        </w:tc>
        <w:tc>
          <w:tcPr>
            <w:tcW w:w="4125" w:type="dxa"/>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1、执行全省和兰州市总体准入要求中重点管控单元的污染物排放管控要求。</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2、园区内重点企业应进一步强化废气污染治理，确保达标排放。</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3、企业生产废水及生活污水需经处理达到达到《污水排入城镇下水道水质标准》（GB/T31962-2015）后方可排入城镇处理厂处理。</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4、完善工业园区固废收集网络，固废综合利用途径及处理处置、危废无害化利用处置及全过程监管。</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5. 园区火电、钢铁、石化、水泥、有色、化工等六大行业以及燃煤锅炉项目执行大气污染物特别排放限值。</w:t>
            </w:r>
          </w:p>
        </w:tc>
        <w:tc>
          <w:tcPr>
            <w:tcW w:w="4257" w:type="dxa"/>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1、执行甘肃省及兰州市总体准入要求中重点管控单元的环境风险防控要求。</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2、强化应急物资储备和救援队伍建设，完善应急预案，加强风险防控体系建设，定期开展环境应急演练。</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3、开展园区环境风险评估、突发环境事件应急预案、应急物资调查报告的编制工作。每三年开展应急预案的修订工作。</w:t>
            </w:r>
          </w:p>
        </w:tc>
        <w:tc>
          <w:tcPr>
            <w:tcW w:w="2904" w:type="dxa"/>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建立工业园区清洁生产审核验收指标体系。提出改善用水结构、提高再生水使用比例、资源分类利用和循环使用。鼓励园区企业加大环保设计投入力度，确保排污达标排放，淘汰高耗能、高物耗、高排污或固体废物排放量大的生产工艺。生活垃圾采用定时、定点收集方式，通过环卫车辆运输至皋兰县城垃圾处理厂填埋处置。实现要素配置集约化、资源利用最大化、污染物排放最小化的绿色低碳循环发展。</w:t>
            </w: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大气环境高排放重点管控区 水环境工业污染重点管控区(青城桥II类) 高污染燃料禁燃区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90"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ZH62012220004</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皋兰县重点管控单元01</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重点管控单元4</w:t>
            </w:r>
          </w:p>
        </w:tc>
        <w:tc>
          <w:tcPr>
            <w:tcW w:w="3412"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执行兰州市和皋兰县空间布局约束准入要求。</w:t>
            </w:r>
          </w:p>
        </w:tc>
        <w:tc>
          <w:tcPr>
            <w:tcW w:w="4125" w:type="dxa"/>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1、执行甘肃省及兰州市总体准入要求中重点管控单元的污染物排放管控要求。</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2、提高城镇污水收集处理率。</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3、推进省级规模化养殖场（小区）标准化示范场建设，新改扩建规模化畜禽养殖场（小区）雨污分流、粪便水资源化利用工作；加强畜禽养殖废弃物、病死畜禽无害化处理基础设施建设。</w:t>
            </w:r>
          </w:p>
        </w:tc>
        <w:tc>
          <w:tcPr>
            <w:tcW w:w="4257" w:type="dxa"/>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1、执行甘肃省及兰州市总体准入要求中重点管控单元的环境风险防控要求。</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2、应制定完善重大污染事件应急预案，建立重污染天气监测预警体系，加强风险防控体系建设。强化应急物资储备和救援队伍建设，完善应急预案，加强风险防控体系建设。</w:t>
            </w:r>
          </w:p>
        </w:tc>
        <w:tc>
          <w:tcPr>
            <w:tcW w:w="2904"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执行甘肃省及兰州市总体准入要求中重点管控单元的资源利用效率要求。在禁燃区内，禁止使用、销售高污染燃料。</w:t>
            </w:r>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水环境工业污染重点管控区(青城桥II类) 高污染燃料禁燃区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14" w:hRule="atLeast"/>
          <w:jc w:val="center"/>
        </w:trPr>
        <w:tc>
          <w:tcPr>
            <w:tcW w:w="1968"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ZH62012220005</w:t>
            </w:r>
          </w:p>
        </w:tc>
        <w:tc>
          <w:tcPr>
            <w:tcW w:w="1069"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lang w:bidi="ar"/>
              </w:rPr>
              <w:t>兰州新区新材料产业园</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重点管控单元5</w:t>
            </w:r>
          </w:p>
        </w:tc>
        <w:tc>
          <w:tcPr>
            <w:tcW w:w="3412" w:type="dxa"/>
            <w:shd w:val="clear" w:color="auto" w:fill="auto"/>
            <w:vAlign w:val="center"/>
          </w:tcPr>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bookmarkStart w:id="10" w:name="OLE_LINK5"/>
            <w:r>
              <w:rPr>
                <w:rFonts w:hint="eastAsia" w:ascii="仿宋_GB2312" w:hAnsi="仿宋_GB2312" w:eastAsia="仿宋_GB2312" w:cs="仿宋_GB2312"/>
                <w:color w:val="000000" w:themeColor="text1"/>
                <w:kern w:val="0"/>
                <w:szCs w:val="21"/>
                <w14:textFill>
                  <w14:solidFill>
                    <w14:schemeClr w14:val="tx1"/>
                  </w14:solidFill>
                </w14:textFill>
              </w:rPr>
              <w:t>1、执行全省及兰州新区生态环境总体准入清单中关于重点管控单元空间布局约束要求。</w:t>
            </w:r>
          </w:p>
          <w:p>
            <w:pPr>
              <w:widowControl/>
              <w:jc w:val="left"/>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2、严格执行园区规划环评及其审查意见对空间布局、选址的要求。</w:t>
            </w:r>
          </w:p>
          <w:p>
            <w:pPr>
              <w:widowControl/>
              <w:snapToGrid w:val="0"/>
              <w:jc w:val="left"/>
              <w:textAlignment w:val="center"/>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3、执行《关于进一步加强产业园区规划环境影响评价工作的意见》《关于进一步优化环境影响评价工作的意见》等文件中的园区规划环评编制以及规划环评落实相关要求。</w:t>
            </w:r>
          </w:p>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themeColor="text1"/>
                <w:kern w:val="0"/>
                <w:szCs w:val="21"/>
                <w14:textFill>
                  <w14:solidFill>
                    <w14:schemeClr w14:val="tx1"/>
                  </w14:solidFill>
                </w14:textFill>
              </w:rPr>
              <w:t>4、执行《关于加强高耗能、高排放建设项目生态环境源头防控的指导意见》（环环评〔2021〕45 号）等相关要求。</w:t>
            </w:r>
            <w:bookmarkEnd w:id="10"/>
          </w:p>
        </w:tc>
        <w:tc>
          <w:tcPr>
            <w:tcW w:w="4125"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themeColor="text1"/>
                <w:kern w:val="0"/>
                <w:szCs w:val="21"/>
                <w14:textFill>
                  <w14:solidFill>
                    <w14:schemeClr w14:val="tx1"/>
                  </w14:solidFill>
                </w14:textFill>
              </w:rPr>
            </w:pPr>
            <w:bookmarkStart w:id="11" w:name="OLE_LINK6"/>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1、执行全省和兰州新区生态环境总体准入清单中重点管控单元的污染物排放管控要求。</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2、严格执行行业排放标准和排污许可要求。</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themeColor="text1"/>
                <w:szCs w:val="21"/>
                <w14:textFill>
                  <w14:solidFill>
                    <w14:schemeClr w14:val="tx1"/>
                  </w14:solidFill>
                </w14:textFill>
              </w:rPr>
              <w:t>3、落实规划环评结论及审查意见,对现有生态环境问题组织整改，落实污染物总量控制和减排任务,督促污染企业做好退出地块的土壤、地下水等风险防控工作。</w:t>
            </w:r>
            <w:bookmarkEnd w:id="11"/>
          </w:p>
        </w:tc>
        <w:tc>
          <w:tcPr>
            <w:tcW w:w="425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themeColor="text1"/>
                <w:kern w:val="0"/>
                <w:szCs w:val="21"/>
                <w14:textFill>
                  <w14:solidFill>
                    <w14:schemeClr w14:val="tx1"/>
                  </w14:solidFill>
                </w14:textFill>
              </w:rPr>
            </w:pPr>
            <w:bookmarkStart w:id="12" w:name="OLE_LINK7"/>
            <w:r>
              <w:rPr>
                <w:rFonts w:hint="eastAsia" w:ascii="仿宋_GB2312" w:hAnsi="仿宋_GB2312" w:eastAsia="仿宋_GB2312" w:cs="仿宋_GB2312"/>
                <w:color w:val="000000" w:themeColor="text1"/>
                <w:kern w:val="0"/>
                <w:szCs w:val="21"/>
                <w14:textFill>
                  <w14:solidFill>
                    <w14:schemeClr w14:val="tx1"/>
                  </w14:solidFill>
                </w14:textFill>
              </w:rPr>
              <w:t>1、执行全省及兰州新区生态环境总体准入清单中重点管控单元的环境风险防控要求。</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w:t>
            </w:r>
            <w:r>
              <w:rPr>
                <w:rFonts w:hint="eastAsia" w:ascii="仿宋_GB2312" w:hAnsi="仿宋_GB2312" w:eastAsia="仿宋_GB2312" w:cs="仿宋_GB2312"/>
                <w:color w:val="000000" w:themeColor="text1"/>
                <w:kern w:val="0"/>
                <w:szCs w:val="21"/>
                <w14:textFill>
                  <w14:solidFill>
                    <w14:schemeClr w14:val="tx1"/>
                  </w14:solidFill>
                </w14:textFill>
              </w:rPr>
              <w:t>加强产业园区环境风险防控体系建设并编制应急预案，细化明确产业园区及区内企业环境风险防范责任，与新区管委会应急预案做好衔接联动，切实做好环境风险防范工作。</w:t>
            </w:r>
          </w:p>
          <w:bookmarkEnd w:id="12"/>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p>
        </w:tc>
        <w:tc>
          <w:tcPr>
            <w:tcW w:w="2904"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themeColor="text1"/>
                <w:kern w:val="0"/>
                <w:szCs w:val="21"/>
                <w14:textFill>
                  <w14:solidFill>
                    <w14:schemeClr w14:val="tx1"/>
                  </w14:solidFill>
                </w14:textFill>
              </w:rPr>
            </w:pPr>
            <w:bookmarkStart w:id="13" w:name="OLE_LINK8"/>
            <w:r>
              <w:rPr>
                <w:rFonts w:hint="eastAsia" w:ascii="仿宋_GB2312" w:hAnsi="仿宋_GB2312" w:eastAsia="仿宋_GB2312" w:cs="仿宋_GB2312"/>
                <w:color w:val="000000" w:themeColor="text1"/>
                <w:kern w:val="0"/>
                <w:szCs w:val="21"/>
                <w14:textFill>
                  <w14:solidFill>
                    <w14:schemeClr w14:val="tx1"/>
                  </w14:solidFill>
                </w14:textFill>
              </w:rPr>
              <w:t>1、执行全省和兰州新区生态环境总体准入清单中重点管控单元的资源利用效率要求。</w:t>
            </w:r>
          </w:p>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2、项目应符合生态环境保护相关法律法规、法定规划以及相关产业结构调整、区域及行业碳达峰碳中和目标、煤炭消费总量控制等政策要求。</w:t>
            </w:r>
            <w:bookmarkEnd w:id="13"/>
          </w:p>
        </w:tc>
        <w:tc>
          <w:tcPr>
            <w:tcW w:w="1987" w:type="dxa"/>
            <w:shd w:val="clear" w:color="auto" w:fill="auto"/>
            <w:vAlign w:val="center"/>
          </w:tcPr>
          <w:p>
            <w:pPr>
              <w:widowControl/>
              <w:jc w:val="left"/>
              <w:textAlignment w:val="bottom"/>
              <w:rPr>
                <w:rFonts w:hint="eastAsia" w:ascii="仿宋_GB2312" w:hAnsi="仿宋_GB2312" w:eastAsia="仿宋_GB2312" w:cs="仿宋_GB2312"/>
                <w:color w:val="000000"/>
                <w:kern w:val="0"/>
                <w:szCs w:val="21"/>
              </w:rPr>
            </w:pPr>
            <w:r>
              <w:rPr>
                <w:rFonts w:hint="eastAsia" w:ascii="仿宋_GB2312" w:hAnsi="仿宋_GB2312" w:eastAsia="仿宋_GB2312" w:cs="仿宋_GB2312"/>
                <w:szCs w:val="21"/>
              </w:rPr>
              <w:t xml:space="preserve">大气环境高排放重点管控区 水环境工业污染重点管控区(青城桥II类；什川桥II类七里河桥III类)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00" w:hRule="atLeast"/>
          <w:jc w:val="center"/>
        </w:trPr>
        <w:tc>
          <w:tcPr>
            <w:tcW w:w="1968"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ZH62012230001</w:t>
            </w:r>
          </w:p>
        </w:tc>
        <w:tc>
          <w:tcPr>
            <w:tcW w:w="1069"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皋兰县一般管控单元</w:t>
            </w:r>
          </w:p>
        </w:tc>
        <w:tc>
          <w:tcPr>
            <w:tcW w:w="450"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甘肃省</w:t>
            </w:r>
          </w:p>
        </w:tc>
        <w:tc>
          <w:tcPr>
            <w:tcW w:w="412"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兰州市</w:t>
            </w:r>
          </w:p>
        </w:tc>
        <w:tc>
          <w:tcPr>
            <w:tcW w:w="394" w:type="dxa"/>
            <w:shd w:val="clear" w:color="auto" w:fill="auto"/>
            <w:vAlign w:val="center"/>
          </w:tcPr>
          <w:p>
            <w:pPr>
              <w:keepNext w:val="0"/>
              <w:keepLines w:val="0"/>
              <w:pageBreakBefore w:val="0"/>
              <w:widowControl/>
              <w:kinsoku/>
              <w:wordWrap/>
              <w:overflowPunct/>
              <w:topLinePunct w:val="0"/>
              <w:autoSpaceDE/>
              <w:autoSpaceDN/>
              <w:bidi/>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皋兰县</w:t>
            </w:r>
          </w:p>
        </w:tc>
        <w:tc>
          <w:tcPr>
            <w:tcW w:w="994"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一般管控单元1</w:t>
            </w:r>
          </w:p>
        </w:tc>
        <w:tc>
          <w:tcPr>
            <w:tcW w:w="3412" w:type="dxa"/>
            <w:shd w:val="clear" w:color="auto" w:fill="auto"/>
            <w:vAlign w:val="center"/>
          </w:tcPr>
          <w:p>
            <w:pPr>
              <w:widowControl/>
              <w:jc w:val="left"/>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执行甘肃省及兰州市总体准入要求中空间布局约束要求。</w:t>
            </w:r>
          </w:p>
        </w:tc>
        <w:tc>
          <w:tcPr>
            <w:tcW w:w="4125" w:type="dxa"/>
            <w:shd w:val="clear" w:color="auto" w:fill="auto"/>
            <w:vAlign w:val="center"/>
          </w:tcPr>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1、加强农药源头监管，加强禁限用农药使用管理，大力恢复绿肥生产，推进水肥一体化技术应用。</w:t>
            </w:r>
          </w:p>
          <w:p>
            <w:pPr>
              <w:keepNext w:val="0"/>
              <w:keepLines w:val="0"/>
              <w:pageBreakBefore w:val="0"/>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2、实施工业污染源全面达标排放计划，强化对工业企业排放的实时监测，严格环保执法，维护生态环境安全。对新、改、扩建的工业项目，要加强管理，对其环保措施要逐一落实。加强废气重点源的整治和废水的重复和梯级利用。</w:t>
            </w:r>
          </w:p>
        </w:tc>
        <w:tc>
          <w:tcPr>
            <w:tcW w:w="4257"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执行甘肃省及兰州市总体准入要求中环境风险防控要求</w:t>
            </w:r>
            <w:r>
              <w:rPr>
                <w:rFonts w:hint="eastAsia" w:ascii="仿宋_GB2312" w:hAnsi="仿宋_GB2312" w:eastAsia="仿宋_GB2312" w:cs="仿宋_GB2312"/>
                <w:color w:val="000000"/>
                <w:kern w:val="0"/>
                <w:szCs w:val="21"/>
              </w:rPr>
              <w:t>。</w:t>
            </w:r>
          </w:p>
        </w:tc>
        <w:tc>
          <w:tcPr>
            <w:tcW w:w="2904"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ind w:left="0" w:leftChars="0" w:right="0" w:rightChars="0" w:firstLine="0" w:firstLineChars="0"/>
              <w:jc w:val="left"/>
              <w:textAlignment w:val="auto"/>
              <w:outlineLvl w:val="9"/>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执行甘肃省及兰州市总体准入要求中资源开发效率要求</w:t>
            </w:r>
            <w:r>
              <w:rPr>
                <w:rFonts w:hint="eastAsia" w:ascii="仿宋_GB2312" w:hAnsi="仿宋_GB2312" w:eastAsia="仿宋_GB2312" w:cs="仿宋_GB2312"/>
                <w:color w:val="000000"/>
                <w:kern w:val="0"/>
                <w:szCs w:val="21"/>
              </w:rPr>
              <w:t>。</w:t>
            </w:r>
          </w:p>
        </w:tc>
        <w:tc>
          <w:tcPr>
            <w:tcW w:w="1987" w:type="dxa"/>
            <w:shd w:val="clear" w:color="auto" w:fill="auto"/>
            <w:vAlign w:val="center"/>
          </w:tcPr>
          <w:p>
            <w:pP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 xml:space="preserve"> </w:t>
            </w:r>
          </w:p>
        </w:tc>
      </w:tr>
    </w:tbl>
    <w:p>
      <w:pPr>
        <w:tabs>
          <w:tab w:val="left" w:pos="50"/>
        </w:tabs>
        <w:rPr>
          <w:rFonts w:hint="eastAsia" w:ascii="仿宋_GB2312" w:hAnsi="仿宋_GB2312" w:eastAsia="仿宋_GB2312" w:cs="仿宋_GB2312"/>
          <w:color w:val="000000" w:themeColor="text1"/>
          <w:szCs w:val="21"/>
          <w14:textFill>
            <w14:solidFill>
              <w14:schemeClr w14:val="tx1"/>
            </w14:solidFill>
          </w14:textFill>
        </w:rPr>
      </w:pPr>
    </w:p>
    <w:p>
      <w:pPr>
        <w:tabs>
          <w:tab w:val="left" w:pos="50"/>
        </w:tabs>
        <w:rPr>
          <w:rFonts w:hint="eastAsia" w:ascii="仿宋_GB2312" w:hAnsi="仿宋_GB2312" w:eastAsia="仿宋_GB2312" w:cs="仿宋_GB2312"/>
          <w:color w:val="000000" w:themeColor="text1"/>
          <w:szCs w:val="21"/>
          <w:lang w:val="en-US" w:eastAsia="zh-CN"/>
          <w14:textFill>
            <w14:solidFill>
              <w14:schemeClr w14:val="tx1"/>
            </w14:solidFill>
          </w14:textFill>
        </w:rPr>
      </w:pPr>
    </w:p>
    <w:sectPr>
      <w:footerReference r:id="rId10" w:type="default"/>
      <w:pgSz w:w="23811" w:h="16838" w:orient="landscape"/>
      <w:pgMar w:top="1134" w:right="1440" w:bottom="850" w:left="1440" w:header="851" w:footer="992" w:gutter="0"/>
      <w:pgNumType w:fmt="decimal" w:start="1"/>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仿宋">
    <w:altName w:val="仿宋"/>
    <w:panose1 w:val="03000509000000000000"/>
    <w:charset w:val="86"/>
    <w:family w:val="script"/>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等线 Light">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jc w:val="center"/>
                            <w:rPr>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8"/>
                      <w:jc w:val="center"/>
                      <w:rPr>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680A20"/>
    <w:multiLevelType w:val="singleLevel"/>
    <w:tmpl w:val="65680A20"/>
    <w:lvl w:ilvl="0" w:tentative="0">
      <w:start w:val="1"/>
      <w:numFmt w:val="decimal"/>
      <w:suff w:val="nothing"/>
      <w:lvlText w:val="%1、"/>
      <w:lvlJc w:val="left"/>
    </w:lvl>
  </w:abstractNum>
  <w:abstractNum w:abstractNumId="1">
    <w:nsid w:val="70C70CD4"/>
    <w:multiLevelType w:val="singleLevel"/>
    <w:tmpl w:val="70C70CD4"/>
    <w:lvl w:ilvl="0" w:tentative="0">
      <w:start w:val="1"/>
      <w:numFmt w:val="decimal"/>
      <w:suff w:val="nothing"/>
      <w:lvlText w:val="%1、"/>
      <w:lvlJc w:val="left"/>
    </w:lvl>
  </w:abstractNum>
  <w:abstractNum w:abstractNumId="2">
    <w:nsid w:val="7950BB54"/>
    <w:multiLevelType w:val="singleLevel"/>
    <w:tmpl w:val="7950BB54"/>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hideSpellingErrors/>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42E"/>
    <w:rsid w:val="00003292"/>
    <w:rsid w:val="00006704"/>
    <w:rsid w:val="00006EFB"/>
    <w:rsid w:val="00016A3E"/>
    <w:rsid w:val="00025722"/>
    <w:rsid w:val="00027838"/>
    <w:rsid w:val="00034E67"/>
    <w:rsid w:val="00035C33"/>
    <w:rsid w:val="00037362"/>
    <w:rsid w:val="00042995"/>
    <w:rsid w:val="00044BC8"/>
    <w:rsid w:val="000519F8"/>
    <w:rsid w:val="00052B89"/>
    <w:rsid w:val="00065238"/>
    <w:rsid w:val="00066B56"/>
    <w:rsid w:val="00070CEC"/>
    <w:rsid w:val="000775FC"/>
    <w:rsid w:val="00080580"/>
    <w:rsid w:val="00081171"/>
    <w:rsid w:val="00082880"/>
    <w:rsid w:val="00084987"/>
    <w:rsid w:val="00085D85"/>
    <w:rsid w:val="000A0EC2"/>
    <w:rsid w:val="000A4464"/>
    <w:rsid w:val="000A6C30"/>
    <w:rsid w:val="000B21C0"/>
    <w:rsid w:val="000B487C"/>
    <w:rsid w:val="000B6CB1"/>
    <w:rsid w:val="000B73F0"/>
    <w:rsid w:val="000B7C14"/>
    <w:rsid w:val="000C0547"/>
    <w:rsid w:val="000C1523"/>
    <w:rsid w:val="000C2F9C"/>
    <w:rsid w:val="000C48F8"/>
    <w:rsid w:val="000C6FDE"/>
    <w:rsid w:val="000E3170"/>
    <w:rsid w:val="000E65A5"/>
    <w:rsid w:val="000F0520"/>
    <w:rsid w:val="000F1A21"/>
    <w:rsid w:val="000F3719"/>
    <w:rsid w:val="000F6500"/>
    <w:rsid w:val="000F7CBE"/>
    <w:rsid w:val="00101B29"/>
    <w:rsid w:val="001043DF"/>
    <w:rsid w:val="001061C4"/>
    <w:rsid w:val="00114094"/>
    <w:rsid w:val="0011525A"/>
    <w:rsid w:val="00125907"/>
    <w:rsid w:val="0013118F"/>
    <w:rsid w:val="00133F43"/>
    <w:rsid w:val="00134AA8"/>
    <w:rsid w:val="00136E7C"/>
    <w:rsid w:val="001471A9"/>
    <w:rsid w:val="00154812"/>
    <w:rsid w:val="0016416D"/>
    <w:rsid w:val="00167D1A"/>
    <w:rsid w:val="00171405"/>
    <w:rsid w:val="001719D8"/>
    <w:rsid w:val="001727D9"/>
    <w:rsid w:val="0018126D"/>
    <w:rsid w:val="00181B5F"/>
    <w:rsid w:val="00195761"/>
    <w:rsid w:val="001A1C40"/>
    <w:rsid w:val="001B338E"/>
    <w:rsid w:val="001B3874"/>
    <w:rsid w:val="001B6F81"/>
    <w:rsid w:val="001C175A"/>
    <w:rsid w:val="001C2051"/>
    <w:rsid w:val="001C3674"/>
    <w:rsid w:val="001C77D1"/>
    <w:rsid w:val="001D42F2"/>
    <w:rsid w:val="001D5CC2"/>
    <w:rsid w:val="001E03C7"/>
    <w:rsid w:val="001E20FE"/>
    <w:rsid w:val="001E4623"/>
    <w:rsid w:val="001E7A4D"/>
    <w:rsid w:val="001F47D5"/>
    <w:rsid w:val="00204D75"/>
    <w:rsid w:val="00217EB3"/>
    <w:rsid w:val="002217EA"/>
    <w:rsid w:val="00230AAC"/>
    <w:rsid w:val="002318D0"/>
    <w:rsid w:val="00242CBE"/>
    <w:rsid w:val="00251D20"/>
    <w:rsid w:val="00255CE3"/>
    <w:rsid w:val="00255EC1"/>
    <w:rsid w:val="00260E75"/>
    <w:rsid w:val="002674A8"/>
    <w:rsid w:val="002701C3"/>
    <w:rsid w:val="00275E33"/>
    <w:rsid w:val="002824B7"/>
    <w:rsid w:val="00282682"/>
    <w:rsid w:val="002869EC"/>
    <w:rsid w:val="00290812"/>
    <w:rsid w:val="00297F70"/>
    <w:rsid w:val="002A3ADF"/>
    <w:rsid w:val="002A696C"/>
    <w:rsid w:val="002A69BA"/>
    <w:rsid w:val="002A777A"/>
    <w:rsid w:val="002B0B6F"/>
    <w:rsid w:val="002B20EE"/>
    <w:rsid w:val="002C243B"/>
    <w:rsid w:val="002D11E9"/>
    <w:rsid w:val="002D6229"/>
    <w:rsid w:val="002E131A"/>
    <w:rsid w:val="002E1A5A"/>
    <w:rsid w:val="002F1BD0"/>
    <w:rsid w:val="002F488A"/>
    <w:rsid w:val="002F5063"/>
    <w:rsid w:val="002F6812"/>
    <w:rsid w:val="00306464"/>
    <w:rsid w:val="003107E9"/>
    <w:rsid w:val="0031123B"/>
    <w:rsid w:val="0031694B"/>
    <w:rsid w:val="00316BB0"/>
    <w:rsid w:val="00320F17"/>
    <w:rsid w:val="003256D0"/>
    <w:rsid w:val="00332063"/>
    <w:rsid w:val="0033245D"/>
    <w:rsid w:val="00356360"/>
    <w:rsid w:val="00364568"/>
    <w:rsid w:val="003718D6"/>
    <w:rsid w:val="00380841"/>
    <w:rsid w:val="003825D0"/>
    <w:rsid w:val="00382954"/>
    <w:rsid w:val="00382D0A"/>
    <w:rsid w:val="00390044"/>
    <w:rsid w:val="00394E19"/>
    <w:rsid w:val="00397015"/>
    <w:rsid w:val="003A41CE"/>
    <w:rsid w:val="003A5B75"/>
    <w:rsid w:val="003A6FA6"/>
    <w:rsid w:val="003C245A"/>
    <w:rsid w:val="003C4516"/>
    <w:rsid w:val="003D0202"/>
    <w:rsid w:val="003D09FC"/>
    <w:rsid w:val="003D120E"/>
    <w:rsid w:val="003D13A9"/>
    <w:rsid w:val="003D353D"/>
    <w:rsid w:val="003D649D"/>
    <w:rsid w:val="003E225C"/>
    <w:rsid w:val="003E456A"/>
    <w:rsid w:val="003E6A35"/>
    <w:rsid w:val="003E71C5"/>
    <w:rsid w:val="003F46A4"/>
    <w:rsid w:val="00404440"/>
    <w:rsid w:val="004067D6"/>
    <w:rsid w:val="00412ACA"/>
    <w:rsid w:val="00415FB0"/>
    <w:rsid w:val="00416DDC"/>
    <w:rsid w:val="00417598"/>
    <w:rsid w:val="00437747"/>
    <w:rsid w:val="0045306D"/>
    <w:rsid w:val="00453396"/>
    <w:rsid w:val="00455714"/>
    <w:rsid w:val="00461471"/>
    <w:rsid w:val="0046577A"/>
    <w:rsid w:val="0046779B"/>
    <w:rsid w:val="00470A99"/>
    <w:rsid w:val="00472277"/>
    <w:rsid w:val="00473CF4"/>
    <w:rsid w:val="00484B73"/>
    <w:rsid w:val="00490A4A"/>
    <w:rsid w:val="00495033"/>
    <w:rsid w:val="004956DE"/>
    <w:rsid w:val="004974A4"/>
    <w:rsid w:val="00497827"/>
    <w:rsid w:val="004A1950"/>
    <w:rsid w:val="004A2F29"/>
    <w:rsid w:val="004A415A"/>
    <w:rsid w:val="004A42B7"/>
    <w:rsid w:val="004A7724"/>
    <w:rsid w:val="004B2147"/>
    <w:rsid w:val="004B4234"/>
    <w:rsid w:val="004B546D"/>
    <w:rsid w:val="004B648A"/>
    <w:rsid w:val="004B797E"/>
    <w:rsid w:val="004C072A"/>
    <w:rsid w:val="004C3845"/>
    <w:rsid w:val="004D3F57"/>
    <w:rsid w:val="004E08E8"/>
    <w:rsid w:val="004E2BCA"/>
    <w:rsid w:val="004E56C7"/>
    <w:rsid w:val="004E626D"/>
    <w:rsid w:val="004F29D8"/>
    <w:rsid w:val="004F3BBE"/>
    <w:rsid w:val="00502D0F"/>
    <w:rsid w:val="00505981"/>
    <w:rsid w:val="005111BE"/>
    <w:rsid w:val="00511512"/>
    <w:rsid w:val="00514BB6"/>
    <w:rsid w:val="005165C4"/>
    <w:rsid w:val="00522079"/>
    <w:rsid w:val="0052437C"/>
    <w:rsid w:val="00526BD5"/>
    <w:rsid w:val="00526C48"/>
    <w:rsid w:val="00534496"/>
    <w:rsid w:val="0053765B"/>
    <w:rsid w:val="005442C0"/>
    <w:rsid w:val="00567A72"/>
    <w:rsid w:val="00573378"/>
    <w:rsid w:val="00582F1B"/>
    <w:rsid w:val="0058659A"/>
    <w:rsid w:val="00587CCF"/>
    <w:rsid w:val="00591166"/>
    <w:rsid w:val="00591555"/>
    <w:rsid w:val="00593069"/>
    <w:rsid w:val="005949E9"/>
    <w:rsid w:val="005A3E66"/>
    <w:rsid w:val="005B170E"/>
    <w:rsid w:val="005B1CDC"/>
    <w:rsid w:val="005B3F5D"/>
    <w:rsid w:val="005D42E1"/>
    <w:rsid w:val="005D6122"/>
    <w:rsid w:val="005E4EDA"/>
    <w:rsid w:val="005E55BC"/>
    <w:rsid w:val="005F0845"/>
    <w:rsid w:val="005F0B90"/>
    <w:rsid w:val="005F4E47"/>
    <w:rsid w:val="005F6A3C"/>
    <w:rsid w:val="005F71E7"/>
    <w:rsid w:val="0060123C"/>
    <w:rsid w:val="00602E0C"/>
    <w:rsid w:val="0060574B"/>
    <w:rsid w:val="00615179"/>
    <w:rsid w:val="00622F81"/>
    <w:rsid w:val="006326F1"/>
    <w:rsid w:val="00632F40"/>
    <w:rsid w:val="006359A0"/>
    <w:rsid w:val="00642395"/>
    <w:rsid w:val="00643E32"/>
    <w:rsid w:val="006445ED"/>
    <w:rsid w:val="00644820"/>
    <w:rsid w:val="00650314"/>
    <w:rsid w:val="006530C6"/>
    <w:rsid w:val="00661541"/>
    <w:rsid w:val="00662534"/>
    <w:rsid w:val="0066640E"/>
    <w:rsid w:val="00676500"/>
    <w:rsid w:val="006820BD"/>
    <w:rsid w:val="00694295"/>
    <w:rsid w:val="0069442B"/>
    <w:rsid w:val="006948CC"/>
    <w:rsid w:val="006A0070"/>
    <w:rsid w:val="006A1DF8"/>
    <w:rsid w:val="006A4B85"/>
    <w:rsid w:val="006A4E97"/>
    <w:rsid w:val="006B1841"/>
    <w:rsid w:val="006B1C26"/>
    <w:rsid w:val="006B23E7"/>
    <w:rsid w:val="006B3FCC"/>
    <w:rsid w:val="006B4397"/>
    <w:rsid w:val="006B5311"/>
    <w:rsid w:val="006B69C9"/>
    <w:rsid w:val="006B6C3C"/>
    <w:rsid w:val="006C310E"/>
    <w:rsid w:val="006D5E7E"/>
    <w:rsid w:val="006D6F6A"/>
    <w:rsid w:val="006E527F"/>
    <w:rsid w:val="006F0815"/>
    <w:rsid w:val="006F419F"/>
    <w:rsid w:val="006F4CB8"/>
    <w:rsid w:val="006F7945"/>
    <w:rsid w:val="00701132"/>
    <w:rsid w:val="00706F17"/>
    <w:rsid w:val="00711BD4"/>
    <w:rsid w:val="00717E6B"/>
    <w:rsid w:val="00725BA2"/>
    <w:rsid w:val="00741039"/>
    <w:rsid w:val="007439BF"/>
    <w:rsid w:val="007463F6"/>
    <w:rsid w:val="00755E3E"/>
    <w:rsid w:val="00756299"/>
    <w:rsid w:val="00756967"/>
    <w:rsid w:val="00761183"/>
    <w:rsid w:val="00764C4C"/>
    <w:rsid w:val="007655B2"/>
    <w:rsid w:val="007660AA"/>
    <w:rsid w:val="00766594"/>
    <w:rsid w:val="00766F62"/>
    <w:rsid w:val="00770CCC"/>
    <w:rsid w:val="007830A9"/>
    <w:rsid w:val="007837EE"/>
    <w:rsid w:val="00796DA6"/>
    <w:rsid w:val="007A0BBE"/>
    <w:rsid w:val="007A24B3"/>
    <w:rsid w:val="007A5246"/>
    <w:rsid w:val="007A5F87"/>
    <w:rsid w:val="007B21AD"/>
    <w:rsid w:val="007B24DF"/>
    <w:rsid w:val="007C6F47"/>
    <w:rsid w:val="007F0186"/>
    <w:rsid w:val="007F27E6"/>
    <w:rsid w:val="007F4564"/>
    <w:rsid w:val="00801227"/>
    <w:rsid w:val="008026DE"/>
    <w:rsid w:val="00812667"/>
    <w:rsid w:val="00820AE5"/>
    <w:rsid w:val="00820BAD"/>
    <w:rsid w:val="00821111"/>
    <w:rsid w:val="0082206E"/>
    <w:rsid w:val="00823487"/>
    <w:rsid w:val="008276B3"/>
    <w:rsid w:val="0083524B"/>
    <w:rsid w:val="00847393"/>
    <w:rsid w:val="00847760"/>
    <w:rsid w:val="008519AF"/>
    <w:rsid w:val="00874736"/>
    <w:rsid w:val="008758A1"/>
    <w:rsid w:val="008762E1"/>
    <w:rsid w:val="00885E7D"/>
    <w:rsid w:val="00897209"/>
    <w:rsid w:val="008A083C"/>
    <w:rsid w:val="008A14E1"/>
    <w:rsid w:val="008A32BB"/>
    <w:rsid w:val="008B0B09"/>
    <w:rsid w:val="008B1B14"/>
    <w:rsid w:val="008B1DD2"/>
    <w:rsid w:val="008B737A"/>
    <w:rsid w:val="008C04FC"/>
    <w:rsid w:val="008C3A6E"/>
    <w:rsid w:val="008D24C7"/>
    <w:rsid w:val="008D305D"/>
    <w:rsid w:val="008D5CB2"/>
    <w:rsid w:val="008E3D04"/>
    <w:rsid w:val="008E69CB"/>
    <w:rsid w:val="008F3CB6"/>
    <w:rsid w:val="0090177D"/>
    <w:rsid w:val="00901F9F"/>
    <w:rsid w:val="00902142"/>
    <w:rsid w:val="009036C8"/>
    <w:rsid w:val="00926CD0"/>
    <w:rsid w:val="00927946"/>
    <w:rsid w:val="0094400F"/>
    <w:rsid w:val="00954FE2"/>
    <w:rsid w:val="00963FAA"/>
    <w:rsid w:val="009704DE"/>
    <w:rsid w:val="009710AA"/>
    <w:rsid w:val="00971E1B"/>
    <w:rsid w:val="00977EAF"/>
    <w:rsid w:val="009A52AF"/>
    <w:rsid w:val="009C10C4"/>
    <w:rsid w:val="009C7F86"/>
    <w:rsid w:val="009D2E6E"/>
    <w:rsid w:val="009D3C6A"/>
    <w:rsid w:val="009D523B"/>
    <w:rsid w:val="009D53AA"/>
    <w:rsid w:val="009D578A"/>
    <w:rsid w:val="009E04F1"/>
    <w:rsid w:val="009E4D83"/>
    <w:rsid w:val="009E6545"/>
    <w:rsid w:val="009F2635"/>
    <w:rsid w:val="00A04182"/>
    <w:rsid w:val="00A1462F"/>
    <w:rsid w:val="00A204C1"/>
    <w:rsid w:val="00A258C0"/>
    <w:rsid w:val="00A26E7B"/>
    <w:rsid w:val="00A26F71"/>
    <w:rsid w:val="00A375FC"/>
    <w:rsid w:val="00A40B42"/>
    <w:rsid w:val="00A40D24"/>
    <w:rsid w:val="00A46ECF"/>
    <w:rsid w:val="00A627B1"/>
    <w:rsid w:val="00A640E9"/>
    <w:rsid w:val="00A66FED"/>
    <w:rsid w:val="00A70A3E"/>
    <w:rsid w:val="00A70D46"/>
    <w:rsid w:val="00A76C29"/>
    <w:rsid w:val="00A81665"/>
    <w:rsid w:val="00A82399"/>
    <w:rsid w:val="00A82B72"/>
    <w:rsid w:val="00A84ACC"/>
    <w:rsid w:val="00A936EF"/>
    <w:rsid w:val="00A97C4A"/>
    <w:rsid w:val="00AB2E85"/>
    <w:rsid w:val="00AB4F12"/>
    <w:rsid w:val="00AD33F5"/>
    <w:rsid w:val="00AD34D3"/>
    <w:rsid w:val="00AD3F1B"/>
    <w:rsid w:val="00AD7297"/>
    <w:rsid w:val="00AE45A6"/>
    <w:rsid w:val="00AE7714"/>
    <w:rsid w:val="00AF16EA"/>
    <w:rsid w:val="00AF1BCA"/>
    <w:rsid w:val="00AF3B1E"/>
    <w:rsid w:val="00AF7AF5"/>
    <w:rsid w:val="00B000C5"/>
    <w:rsid w:val="00B012E0"/>
    <w:rsid w:val="00B10E8B"/>
    <w:rsid w:val="00B12A89"/>
    <w:rsid w:val="00B1604D"/>
    <w:rsid w:val="00B3142E"/>
    <w:rsid w:val="00B33A7F"/>
    <w:rsid w:val="00B35B99"/>
    <w:rsid w:val="00B37FCF"/>
    <w:rsid w:val="00B44DA5"/>
    <w:rsid w:val="00B44FEC"/>
    <w:rsid w:val="00B4637D"/>
    <w:rsid w:val="00B46574"/>
    <w:rsid w:val="00B46AA2"/>
    <w:rsid w:val="00B61299"/>
    <w:rsid w:val="00B6531D"/>
    <w:rsid w:val="00B7533D"/>
    <w:rsid w:val="00B848FD"/>
    <w:rsid w:val="00B84CB9"/>
    <w:rsid w:val="00B85576"/>
    <w:rsid w:val="00B9403C"/>
    <w:rsid w:val="00B9700F"/>
    <w:rsid w:val="00BA4C97"/>
    <w:rsid w:val="00BA7818"/>
    <w:rsid w:val="00BB14E5"/>
    <w:rsid w:val="00BB2C24"/>
    <w:rsid w:val="00BB7D88"/>
    <w:rsid w:val="00BC1E11"/>
    <w:rsid w:val="00BC3664"/>
    <w:rsid w:val="00BC4E0A"/>
    <w:rsid w:val="00BC7DE8"/>
    <w:rsid w:val="00BC7EB7"/>
    <w:rsid w:val="00BD03DE"/>
    <w:rsid w:val="00BD055D"/>
    <w:rsid w:val="00BD108F"/>
    <w:rsid w:val="00BD21A4"/>
    <w:rsid w:val="00BD49E6"/>
    <w:rsid w:val="00BD537C"/>
    <w:rsid w:val="00BD6C8E"/>
    <w:rsid w:val="00BE0ADB"/>
    <w:rsid w:val="00BE2555"/>
    <w:rsid w:val="00BE2F66"/>
    <w:rsid w:val="00BE3C91"/>
    <w:rsid w:val="00BF0F4B"/>
    <w:rsid w:val="00BF4F4F"/>
    <w:rsid w:val="00C01894"/>
    <w:rsid w:val="00C028B4"/>
    <w:rsid w:val="00C02A04"/>
    <w:rsid w:val="00C030F1"/>
    <w:rsid w:val="00C0571F"/>
    <w:rsid w:val="00C070B1"/>
    <w:rsid w:val="00C07E08"/>
    <w:rsid w:val="00C14537"/>
    <w:rsid w:val="00C15173"/>
    <w:rsid w:val="00C1580C"/>
    <w:rsid w:val="00C208B1"/>
    <w:rsid w:val="00C23CB8"/>
    <w:rsid w:val="00C25D83"/>
    <w:rsid w:val="00C3067E"/>
    <w:rsid w:val="00C32849"/>
    <w:rsid w:val="00C40EF8"/>
    <w:rsid w:val="00C42B91"/>
    <w:rsid w:val="00C533B8"/>
    <w:rsid w:val="00C54C54"/>
    <w:rsid w:val="00C5738F"/>
    <w:rsid w:val="00C5743B"/>
    <w:rsid w:val="00C57756"/>
    <w:rsid w:val="00C60633"/>
    <w:rsid w:val="00C65EA2"/>
    <w:rsid w:val="00C71705"/>
    <w:rsid w:val="00C73AE8"/>
    <w:rsid w:val="00C745B3"/>
    <w:rsid w:val="00C76864"/>
    <w:rsid w:val="00C818AA"/>
    <w:rsid w:val="00C82875"/>
    <w:rsid w:val="00C8493C"/>
    <w:rsid w:val="00C9713D"/>
    <w:rsid w:val="00CA0F8B"/>
    <w:rsid w:val="00CA1914"/>
    <w:rsid w:val="00CA4205"/>
    <w:rsid w:val="00CA7D38"/>
    <w:rsid w:val="00CD1B70"/>
    <w:rsid w:val="00CD4A7E"/>
    <w:rsid w:val="00CD5419"/>
    <w:rsid w:val="00CD6B80"/>
    <w:rsid w:val="00CE02CD"/>
    <w:rsid w:val="00CE7C59"/>
    <w:rsid w:val="00CF0DF3"/>
    <w:rsid w:val="00CF22E4"/>
    <w:rsid w:val="00CF6FD0"/>
    <w:rsid w:val="00D009C1"/>
    <w:rsid w:val="00D050E5"/>
    <w:rsid w:val="00D06025"/>
    <w:rsid w:val="00D06352"/>
    <w:rsid w:val="00D1065B"/>
    <w:rsid w:val="00D11941"/>
    <w:rsid w:val="00D3636F"/>
    <w:rsid w:val="00D378F3"/>
    <w:rsid w:val="00D37FDF"/>
    <w:rsid w:val="00D417B8"/>
    <w:rsid w:val="00D41961"/>
    <w:rsid w:val="00D41BF1"/>
    <w:rsid w:val="00D425C4"/>
    <w:rsid w:val="00D447C3"/>
    <w:rsid w:val="00D4644D"/>
    <w:rsid w:val="00D475C0"/>
    <w:rsid w:val="00D54CC3"/>
    <w:rsid w:val="00D56764"/>
    <w:rsid w:val="00D603DE"/>
    <w:rsid w:val="00D76020"/>
    <w:rsid w:val="00D916B7"/>
    <w:rsid w:val="00D938A8"/>
    <w:rsid w:val="00DA01FB"/>
    <w:rsid w:val="00DB0BC2"/>
    <w:rsid w:val="00DB171B"/>
    <w:rsid w:val="00DB1821"/>
    <w:rsid w:val="00DD1A71"/>
    <w:rsid w:val="00DE11D1"/>
    <w:rsid w:val="00DE25AC"/>
    <w:rsid w:val="00DF34E6"/>
    <w:rsid w:val="00DF69E7"/>
    <w:rsid w:val="00DF7431"/>
    <w:rsid w:val="00E058AB"/>
    <w:rsid w:val="00E07765"/>
    <w:rsid w:val="00E11C8F"/>
    <w:rsid w:val="00E252D3"/>
    <w:rsid w:val="00E27E2A"/>
    <w:rsid w:val="00E349A1"/>
    <w:rsid w:val="00E36A4A"/>
    <w:rsid w:val="00E46FBD"/>
    <w:rsid w:val="00E504E2"/>
    <w:rsid w:val="00E51894"/>
    <w:rsid w:val="00E5632D"/>
    <w:rsid w:val="00E574D6"/>
    <w:rsid w:val="00E613B1"/>
    <w:rsid w:val="00E61A57"/>
    <w:rsid w:val="00E66ED8"/>
    <w:rsid w:val="00E7691A"/>
    <w:rsid w:val="00E77009"/>
    <w:rsid w:val="00E832D8"/>
    <w:rsid w:val="00E832ED"/>
    <w:rsid w:val="00E834AC"/>
    <w:rsid w:val="00E85319"/>
    <w:rsid w:val="00E87A8E"/>
    <w:rsid w:val="00E965A6"/>
    <w:rsid w:val="00EA19E3"/>
    <w:rsid w:val="00EA5E0B"/>
    <w:rsid w:val="00EB1F90"/>
    <w:rsid w:val="00EB5D81"/>
    <w:rsid w:val="00EC2E88"/>
    <w:rsid w:val="00EC66F1"/>
    <w:rsid w:val="00ED4A44"/>
    <w:rsid w:val="00EE605F"/>
    <w:rsid w:val="00EF2A82"/>
    <w:rsid w:val="00EF3885"/>
    <w:rsid w:val="00EF4E2A"/>
    <w:rsid w:val="00F06E68"/>
    <w:rsid w:val="00F1060B"/>
    <w:rsid w:val="00F111E2"/>
    <w:rsid w:val="00F14297"/>
    <w:rsid w:val="00F14A8E"/>
    <w:rsid w:val="00F171F6"/>
    <w:rsid w:val="00F20007"/>
    <w:rsid w:val="00F30911"/>
    <w:rsid w:val="00F30EDD"/>
    <w:rsid w:val="00F312F4"/>
    <w:rsid w:val="00F36AE2"/>
    <w:rsid w:val="00F51023"/>
    <w:rsid w:val="00F51AAC"/>
    <w:rsid w:val="00F52DC0"/>
    <w:rsid w:val="00F5755B"/>
    <w:rsid w:val="00F62FB1"/>
    <w:rsid w:val="00F72853"/>
    <w:rsid w:val="00F74408"/>
    <w:rsid w:val="00F761C0"/>
    <w:rsid w:val="00F77FA2"/>
    <w:rsid w:val="00F77FB5"/>
    <w:rsid w:val="00F806EE"/>
    <w:rsid w:val="00F80F81"/>
    <w:rsid w:val="00F91C88"/>
    <w:rsid w:val="00F966C9"/>
    <w:rsid w:val="00F97DB4"/>
    <w:rsid w:val="00FA1DB2"/>
    <w:rsid w:val="00FA52AC"/>
    <w:rsid w:val="00FB00E3"/>
    <w:rsid w:val="00FB2EAE"/>
    <w:rsid w:val="00FB3947"/>
    <w:rsid w:val="00FB6F09"/>
    <w:rsid w:val="00FB7966"/>
    <w:rsid w:val="00FC153B"/>
    <w:rsid w:val="00FC1B1B"/>
    <w:rsid w:val="00FC2631"/>
    <w:rsid w:val="00FC2EC2"/>
    <w:rsid w:val="00FC321A"/>
    <w:rsid w:val="00FC4ED5"/>
    <w:rsid w:val="00FC64CA"/>
    <w:rsid w:val="00FE16F3"/>
    <w:rsid w:val="00FE1A1D"/>
    <w:rsid w:val="00FE1F38"/>
    <w:rsid w:val="00FF0E38"/>
    <w:rsid w:val="00FF1249"/>
    <w:rsid w:val="00FF1CC1"/>
    <w:rsid w:val="00FF1EF1"/>
    <w:rsid w:val="00FF59C6"/>
    <w:rsid w:val="03D937E2"/>
    <w:rsid w:val="0D4221DE"/>
    <w:rsid w:val="0F31629D"/>
    <w:rsid w:val="11496A87"/>
    <w:rsid w:val="138953D0"/>
    <w:rsid w:val="14FB4FCB"/>
    <w:rsid w:val="1CDD3F54"/>
    <w:rsid w:val="2F0A5E87"/>
    <w:rsid w:val="38A071A7"/>
    <w:rsid w:val="3A4C0E46"/>
    <w:rsid w:val="3B480EFA"/>
    <w:rsid w:val="3B727DD0"/>
    <w:rsid w:val="49AF46DA"/>
    <w:rsid w:val="4B8E5157"/>
    <w:rsid w:val="4E9502BF"/>
    <w:rsid w:val="4F0342D4"/>
    <w:rsid w:val="595128D4"/>
    <w:rsid w:val="5CEB70AD"/>
    <w:rsid w:val="6D1D4749"/>
    <w:rsid w:val="6E6613B0"/>
    <w:rsid w:val="6E8A7533"/>
    <w:rsid w:val="750D4457"/>
    <w:rsid w:val="79FD31F7"/>
    <w:rsid w:val="7F6A7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9" w:semiHidden="0" w:name="heading 4"/>
    <w:lsdException w:qFormat="1" w:uiPriority="9"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qFormat="1" w:unhideWhenUsed="0" w:uiPriority="99" w:semiHidden="0"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8"/>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9"/>
    <w:qFormat/>
    <w:uiPriority w:val="99"/>
    <w:pPr>
      <w:jc w:val="left"/>
      <w:outlineLvl w:val="3"/>
    </w:pPr>
    <w:rPr>
      <w:rFonts w:ascii="宋体" w:hAnsi="宋体" w:eastAsia="宋体" w:cs="宋体"/>
      <w:b/>
      <w:bCs/>
      <w:kern w:val="0"/>
      <w:sz w:val="16"/>
      <w:szCs w:val="16"/>
    </w:rPr>
  </w:style>
  <w:style w:type="paragraph" w:styleId="7">
    <w:name w:val="heading 6"/>
    <w:basedOn w:val="1"/>
    <w:next w:val="1"/>
    <w:link w:val="104"/>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9">
    <w:name w:val="Default Paragraph Font"/>
    <w:unhideWhenUsed/>
    <w:qFormat/>
    <w:uiPriority w:val="1"/>
  </w:style>
  <w:style w:type="table" w:default="1" w:styleId="34">
    <w:name w:val="Normal Table"/>
    <w:unhideWhenUsed/>
    <w:qFormat/>
    <w:uiPriority w:val="99"/>
    <w:tblPr>
      <w:tblLayout w:type="fixed"/>
      <w:tblCellMar>
        <w:top w:w="0" w:type="dxa"/>
        <w:left w:w="108" w:type="dxa"/>
        <w:bottom w:w="0" w:type="dxa"/>
        <w:right w:w="108" w:type="dxa"/>
      </w:tblCellMar>
    </w:tblPr>
  </w:style>
  <w:style w:type="paragraph" w:styleId="2">
    <w:name w:val="toc 3"/>
    <w:basedOn w:val="1"/>
    <w:next w:val="1"/>
    <w:unhideWhenUsed/>
    <w:qFormat/>
    <w:uiPriority w:val="39"/>
    <w:pPr>
      <w:ind w:left="420"/>
      <w:jc w:val="left"/>
    </w:pPr>
    <w:rPr>
      <w:rFonts w:eastAsiaTheme="minorHAnsi"/>
      <w:i/>
      <w:iCs/>
      <w:sz w:val="20"/>
      <w:szCs w:val="20"/>
    </w:rPr>
  </w:style>
  <w:style w:type="paragraph" w:styleId="8">
    <w:name w:val="annotation subject"/>
    <w:basedOn w:val="9"/>
    <w:next w:val="9"/>
    <w:link w:val="50"/>
    <w:unhideWhenUsed/>
    <w:qFormat/>
    <w:uiPriority w:val="99"/>
    <w:rPr>
      <w:b/>
      <w:bCs/>
    </w:rPr>
  </w:style>
  <w:style w:type="paragraph" w:styleId="9">
    <w:name w:val="annotation text"/>
    <w:basedOn w:val="1"/>
    <w:link w:val="46"/>
    <w:unhideWhenUsed/>
    <w:qFormat/>
    <w:uiPriority w:val="99"/>
    <w:pPr>
      <w:jc w:val="left"/>
    </w:pPr>
  </w:style>
  <w:style w:type="paragraph" w:styleId="10">
    <w:name w:val="toc 7"/>
    <w:basedOn w:val="1"/>
    <w:next w:val="1"/>
    <w:unhideWhenUsed/>
    <w:qFormat/>
    <w:uiPriority w:val="39"/>
    <w:pPr>
      <w:ind w:left="1260"/>
      <w:jc w:val="left"/>
    </w:pPr>
    <w:rPr>
      <w:rFonts w:eastAsiaTheme="minorHAnsi"/>
      <w:sz w:val="18"/>
      <w:szCs w:val="18"/>
    </w:rPr>
  </w:style>
  <w:style w:type="paragraph" w:styleId="11">
    <w:name w:val="caption"/>
    <w:basedOn w:val="1"/>
    <w:next w:val="1"/>
    <w:unhideWhenUsed/>
    <w:qFormat/>
    <w:uiPriority w:val="35"/>
    <w:rPr>
      <w:rFonts w:eastAsia="黑体" w:asciiTheme="majorHAnsi" w:hAnsiTheme="majorHAnsi" w:cstheme="majorBidi"/>
      <w:sz w:val="20"/>
      <w:szCs w:val="20"/>
    </w:rPr>
  </w:style>
  <w:style w:type="paragraph" w:styleId="12">
    <w:name w:val="index 6"/>
    <w:basedOn w:val="1"/>
    <w:next w:val="1"/>
    <w:qFormat/>
    <w:uiPriority w:val="99"/>
    <w:rPr>
      <w:szCs w:val="24"/>
    </w:rPr>
  </w:style>
  <w:style w:type="paragraph" w:styleId="13">
    <w:name w:val="Body Text"/>
    <w:basedOn w:val="1"/>
    <w:link w:val="113"/>
    <w:qFormat/>
    <w:uiPriority w:val="0"/>
    <w:pPr>
      <w:widowControl/>
      <w:adjustRightInd w:val="0"/>
      <w:snapToGrid w:val="0"/>
      <w:spacing w:after="120" w:line="360" w:lineRule="auto"/>
      <w:ind w:firstLine="200" w:firstLineChars="200"/>
    </w:pPr>
    <w:rPr>
      <w:rFonts w:ascii="Times New Roman" w:hAnsi="Times New Roman" w:eastAsia="仿宋" w:cs="Times New Roman"/>
      <w:sz w:val="28"/>
      <w:szCs w:val="20"/>
      <w:lang w:bidi="en-US"/>
    </w:rPr>
  </w:style>
  <w:style w:type="paragraph" w:styleId="14">
    <w:name w:val="Body Text Indent"/>
    <w:basedOn w:val="1"/>
    <w:link w:val="114"/>
    <w:qFormat/>
    <w:uiPriority w:val="0"/>
    <w:pPr>
      <w:widowControl/>
      <w:adjustRightInd w:val="0"/>
      <w:snapToGrid w:val="0"/>
      <w:spacing w:after="120" w:line="360" w:lineRule="auto"/>
      <w:ind w:left="420" w:leftChars="200" w:firstLine="200" w:firstLineChars="200"/>
    </w:pPr>
    <w:rPr>
      <w:rFonts w:ascii="Times New Roman" w:hAnsi="Times New Roman" w:eastAsia="仿宋" w:cs="Times New Roman"/>
      <w:sz w:val="28"/>
      <w:szCs w:val="20"/>
      <w:lang w:bidi="en-US"/>
    </w:rPr>
  </w:style>
  <w:style w:type="paragraph" w:styleId="15">
    <w:name w:val="toc 5"/>
    <w:basedOn w:val="1"/>
    <w:next w:val="1"/>
    <w:unhideWhenUsed/>
    <w:qFormat/>
    <w:uiPriority w:val="39"/>
    <w:pPr>
      <w:ind w:left="840"/>
      <w:jc w:val="left"/>
    </w:pPr>
    <w:rPr>
      <w:rFonts w:eastAsiaTheme="minorHAnsi"/>
      <w:sz w:val="18"/>
      <w:szCs w:val="18"/>
    </w:rPr>
  </w:style>
  <w:style w:type="paragraph" w:styleId="16">
    <w:name w:val="toc 8"/>
    <w:basedOn w:val="1"/>
    <w:next w:val="1"/>
    <w:unhideWhenUsed/>
    <w:qFormat/>
    <w:uiPriority w:val="39"/>
    <w:pPr>
      <w:ind w:left="1470"/>
      <w:jc w:val="left"/>
    </w:pPr>
    <w:rPr>
      <w:rFonts w:eastAsiaTheme="minorHAnsi"/>
      <w:sz w:val="18"/>
      <w:szCs w:val="18"/>
    </w:rPr>
  </w:style>
  <w:style w:type="paragraph" w:styleId="17">
    <w:name w:val="Balloon Text"/>
    <w:basedOn w:val="1"/>
    <w:link w:val="45"/>
    <w:unhideWhenUsed/>
    <w:qFormat/>
    <w:uiPriority w:val="99"/>
    <w:rPr>
      <w:sz w:val="18"/>
      <w:szCs w:val="18"/>
    </w:rPr>
  </w:style>
  <w:style w:type="paragraph" w:styleId="18">
    <w:name w:val="footer"/>
    <w:basedOn w:val="1"/>
    <w:link w:val="48"/>
    <w:unhideWhenUsed/>
    <w:qFormat/>
    <w:uiPriority w:val="99"/>
    <w:pPr>
      <w:tabs>
        <w:tab w:val="center" w:pos="4153"/>
        <w:tab w:val="right" w:pos="8306"/>
      </w:tabs>
      <w:snapToGrid w:val="0"/>
      <w:jc w:val="left"/>
    </w:pPr>
    <w:rPr>
      <w:sz w:val="18"/>
      <w:szCs w:val="18"/>
    </w:rPr>
  </w:style>
  <w:style w:type="paragraph" w:styleId="19">
    <w:name w:val="Body Text First Indent 2"/>
    <w:basedOn w:val="14"/>
    <w:link w:val="121"/>
    <w:qFormat/>
    <w:uiPriority w:val="0"/>
    <w:pPr>
      <w:ind w:firstLine="420"/>
    </w:pPr>
    <w:rPr>
      <w:rFonts w:eastAsia="宋体"/>
    </w:rPr>
  </w:style>
  <w:style w:type="paragraph" w:styleId="20">
    <w:name w:val="header"/>
    <w:basedOn w:val="1"/>
    <w:link w:val="49"/>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spacing w:before="120" w:after="120"/>
      <w:jc w:val="left"/>
    </w:pPr>
    <w:rPr>
      <w:rFonts w:eastAsiaTheme="minorHAnsi"/>
      <w:b/>
      <w:bCs/>
      <w:caps/>
      <w:sz w:val="20"/>
      <w:szCs w:val="20"/>
    </w:rPr>
  </w:style>
  <w:style w:type="paragraph" w:styleId="22">
    <w:name w:val="toc 4"/>
    <w:basedOn w:val="1"/>
    <w:next w:val="1"/>
    <w:unhideWhenUsed/>
    <w:qFormat/>
    <w:uiPriority w:val="39"/>
    <w:pPr>
      <w:ind w:left="630"/>
      <w:jc w:val="left"/>
    </w:pPr>
    <w:rPr>
      <w:rFonts w:eastAsiaTheme="minorHAnsi"/>
      <w:sz w:val="18"/>
      <w:szCs w:val="18"/>
    </w:rPr>
  </w:style>
  <w:style w:type="paragraph" w:styleId="23">
    <w:name w:val="Subtitle"/>
    <w:basedOn w:val="1"/>
    <w:next w:val="1"/>
    <w:link w:val="118"/>
    <w:qFormat/>
    <w:uiPriority w:val="0"/>
    <w:pPr>
      <w:widowControl/>
      <w:adjustRightInd w:val="0"/>
      <w:snapToGrid w:val="0"/>
      <w:spacing w:line="360" w:lineRule="auto"/>
      <w:ind w:firstLine="720" w:firstLineChars="200"/>
    </w:pPr>
    <w:rPr>
      <w:rFonts w:ascii="黑体" w:hAnsi="黑体" w:eastAsia="黑体" w:cs="Times New Roman"/>
      <w:color w:val="000000"/>
      <w:sz w:val="36"/>
      <w:szCs w:val="30"/>
    </w:rPr>
  </w:style>
  <w:style w:type="paragraph" w:styleId="24">
    <w:name w:val="toc 6"/>
    <w:basedOn w:val="1"/>
    <w:next w:val="1"/>
    <w:unhideWhenUsed/>
    <w:qFormat/>
    <w:uiPriority w:val="39"/>
    <w:pPr>
      <w:ind w:left="1050"/>
      <w:jc w:val="left"/>
    </w:pPr>
    <w:rPr>
      <w:rFonts w:eastAsiaTheme="minorHAnsi"/>
      <w:sz w:val="18"/>
      <w:szCs w:val="18"/>
    </w:rPr>
  </w:style>
  <w:style w:type="paragraph" w:styleId="25">
    <w:name w:val="toc 2"/>
    <w:basedOn w:val="1"/>
    <w:next w:val="1"/>
    <w:unhideWhenUsed/>
    <w:qFormat/>
    <w:uiPriority w:val="39"/>
    <w:pPr>
      <w:ind w:left="210"/>
      <w:jc w:val="left"/>
    </w:pPr>
    <w:rPr>
      <w:rFonts w:eastAsiaTheme="minorHAnsi"/>
      <w:smallCaps/>
      <w:sz w:val="20"/>
      <w:szCs w:val="20"/>
    </w:rPr>
  </w:style>
  <w:style w:type="paragraph" w:styleId="26">
    <w:name w:val="toc 9"/>
    <w:basedOn w:val="1"/>
    <w:next w:val="1"/>
    <w:unhideWhenUsed/>
    <w:qFormat/>
    <w:uiPriority w:val="39"/>
    <w:pPr>
      <w:ind w:left="1680"/>
      <w:jc w:val="left"/>
    </w:pPr>
    <w:rPr>
      <w:rFonts w:eastAsiaTheme="minorHAnsi"/>
      <w:sz w:val="18"/>
      <w:szCs w:val="18"/>
    </w:r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next w:val="1"/>
    <w:link w:val="110"/>
    <w:qFormat/>
    <w:uiPriority w:val="0"/>
    <w:pPr>
      <w:widowControl/>
      <w:adjustRightInd w:val="0"/>
      <w:snapToGrid w:val="0"/>
      <w:spacing w:before="240" w:after="60" w:line="360" w:lineRule="auto"/>
      <w:ind w:firstLine="200" w:firstLineChars="200"/>
      <w:jc w:val="center"/>
      <w:outlineLvl w:val="0"/>
    </w:pPr>
    <w:rPr>
      <w:rFonts w:ascii="等线 Light" w:hAnsi="等线 Light" w:eastAsia="宋体" w:cs="Times New Roman"/>
      <w:b/>
      <w:bCs/>
      <w:sz w:val="32"/>
      <w:szCs w:val="32"/>
      <w:lang w:bidi="en-US"/>
    </w:rPr>
  </w:style>
  <w:style w:type="character" w:styleId="30">
    <w:name w:val="Strong"/>
    <w:basedOn w:val="29"/>
    <w:qFormat/>
    <w:uiPriority w:val="22"/>
    <w:rPr>
      <w:b/>
      <w:bCs/>
    </w:rPr>
  </w:style>
  <w:style w:type="character" w:styleId="31">
    <w:name w:val="FollowedHyperlink"/>
    <w:basedOn w:val="29"/>
    <w:unhideWhenUsed/>
    <w:qFormat/>
    <w:uiPriority w:val="99"/>
    <w:rPr>
      <w:color w:val="954F72"/>
      <w:u w:val="single"/>
    </w:rPr>
  </w:style>
  <w:style w:type="character" w:styleId="32">
    <w:name w:val="Hyperlink"/>
    <w:basedOn w:val="29"/>
    <w:unhideWhenUsed/>
    <w:qFormat/>
    <w:uiPriority w:val="99"/>
    <w:rPr>
      <w:color w:val="0563C1"/>
      <w:u w:val="single"/>
    </w:rPr>
  </w:style>
  <w:style w:type="character" w:styleId="33">
    <w:name w:val="annotation reference"/>
    <w:basedOn w:val="29"/>
    <w:unhideWhenUsed/>
    <w:qFormat/>
    <w:uiPriority w:val="99"/>
    <w:rPr>
      <w:sz w:val="21"/>
      <w:szCs w:val="21"/>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6">
    <w:name w:val="标题 1 字符"/>
    <w:basedOn w:val="29"/>
    <w:link w:val="3"/>
    <w:qFormat/>
    <w:uiPriority w:val="9"/>
    <w:rPr>
      <w:b/>
      <w:bCs/>
      <w:kern w:val="44"/>
      <w:sz w:val="44"/>
      <w:szCs w:val="44"/>
    </w:rPr>
  </w:style>
  <w:style w:type="character" w:customStyle="1" w:styleId="37">
    <w:name w:val="标题 2 字符"/>
    <w:basedOn w:val="29"/>
    <w:link w:val="4"/>
    <w:qFormat/>
    <w:uiPriority w:val="9"/>
    <w:rPr>
      <w:rFonts w:asciiTheme="majorHAnsi" w:hAnsiTheme="majorHAnsi" w:eastAsiaTheme="majorEastAsia" w:cstheme="majorBidi"/>
      <w:b/>
      <w:bCs/>
      <w:sz w:val="32"/>
      <w:szCs w:val="32"/>
    </w:rPr>
  </w:style>
  <w:style w:type="character" w:customStyle="1" w:styleId="38">
    <w:name w:val="标题 3 字符"/>
    <w:basedOn w:val="29"/>
    <w:link w:val="5"/>
    <w:semiHidden/>
    <w:qFormat/>
    <w:uiPriority w:val="9"/>
    <w:rPr>
      <w:b/>
      <w:bCs/>
      <w:sz w:val="32"/>
      <w:szCs w:val="32"/>
    </w:rPr>
  </w:style>
  <w:style w:type="character" w:customStyle="1" w:styleId="39">
    <w:name w:val="标题 4 字符"/>
    <w:basedOn w:val="29"/>
    <w:link w:val="6"/>
    <w:qFormat/>
    <w:uiPriority w:val="99"/>
    <w:rPr>
      <w:rFonts w:ascii="宋体" w:hAnsi="宋体" w:eastAsia="宋体" w:cs="宋体"/>
      <w:b/>
      <w:bCs/>
      <w:kern w:val="0"/>
      <w:sz w:val="16"/>
      <w:szCs w:val="16"/>
    </w:rPr>
  </w:style>
  <w:style w:type="paragraph" w:customStyle="1" w:styleId="40">
    <w:name w:val="样式1"/>
    <w:basedOn w:val="1"/>
    <w:link w:val="41"/>
    <w:qFormat/>
    <w:uiPriority w:val="0"/>
    <w:pPr>
      <w:spacing w:line="720" w:lineRule="auto"/>
      <w:jc w:val="center"/>
      <w:outlineLvl w:val="0"/>
    </w:pPr>
    <w:rPr>
      <w:rFonts w:ascii="黑体" w:hAnsi="黑体" w:eastAsia="黑体"/>
      <w:b/>
      <w:bCs/>
      <w:sz w:val="96"/>
      <w:szCs w:val="96"/>
    </w:rPr>
  </w:style>
  <w:style w:type="character" w:customStyle="1" w:styleId="41">
    <w:name w:val="样式1 字符"/>
    <w:basedOn w:val="29"/>
    <w:link w:val="40"/>
    <w:qFormat/>
    <w:uiPriority w:val="0"/>
    <w:rPr>
      <w:rFonts w:ascii="黑体" w:hAnsi="黑体" w:eastAsia="黑体"/>
      <w:b/>
      <w:bCs/>
      <w:sz w:val="96"/>
      <w:szCs w:val="96"/>
    </w:rPr>
  </w:style>
  <w:style w:type="paragraph" w:customStyle="1" w:styleId="42">
    <w:name w:val="样式2"/>
    <w:basedOn w:val="1"/>
    <w:link w:val="43"/>
    <w:qFormat/>
    <w:uiPriority w:val="0"/>
    <w:pPr>
      <w:jc w:val="center"/>
      <w:outlineLvl w:val="1"/>
    </w:pPr>
    <w:rPr>
      <w:rFonts w:ascii="仿宋" w:hAnsi="仿宋" w:eastAsia="仿宋"/>
      <w:b/>
      <w:bCs/>
      <w:sz w:val="28"/>
      <w:szCs w:val="28"/>
    </w:rPr>
  </w:style>
  <w:style w:type="character" w:customStyle="1" w:styleId="43">
    <w:name w:val="样式2 字符"/>
    <w:basedOn w:val="29"/>
    <w:link w:val="42"/>
    <w:qFormat/>
    <w:uiPriority w:val="0"/>
    <w:rPr>
      <w:rFonts w:ascii="仿宋" w:hAnsi="仿宋" w:eastAsia="仿宋"/>
      <w:b/>
      <w:bCs/>
      <w:sz w:val="28"/>
      <w:szCs w:val="28"/>
    </w:rPr>
  </w:style>
  <w:style w:type="table" w:customStyle="1" w:styleId="44">
    <w:name w:val="网格型5"/>
    <w:basedOn w:val="34"/>
    <w:qFormat/>
    <w:uiPriority w:val="3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5">
    <w:name w:val="批注框文本 字符"/>
    <w:basedOn w:val="29"/>
    <w:link w:val="17"/>
    <w:qFormat/>
    <w:uiPriority w:val="99"/>
    <w:rPr>
      <w:sz w:val="18"/>
      <w:szCs w:val="18"/>
    </w:rPr>
  </w:style>
  <w:style w:type="character" w:customStyle="1" w:styleId="46">
    <w:name w:val="批注文字 字符"/>
    <w:basedOn w:val="29"/>
    <w:link w:val="9"/>
    <w:qFormat/>
    <w:uiPriority w:val="99"/>
  </w:style>
  <w:style w:type="table" w:customStyle="1" w:styleId="47">
    <w:name w:val="网格型1"/>
    <w:basedOn w:val="3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8">
    <w:name w:val="页脚 字符"/>
    <w:basedOn w:val="29"/>
    <w:link w:val="18"/>
    <w:qFormat/>
    <w:uiPriority w:val="99"/>
    <w:rPr>
      <w:sz w:val="18"/>
      <w:szCs w:val="18"/>
    </w:rPr>
  </w:style>
  <w:style w:type="character" w:customStyle="1" w:styleId="49">
    <w:name w:val="页眉 字符"/>
    <w:basedOn w:val="29"/>
    <w:link w:val="20"/>
    <w:qFormat/>
    <w:uiPriority w:val="99"/>
    <w:rPr>
      <w:sz w:val="18"/>
      <w:szCs w:val="18"/>
    </w:rPr>
  </w:style>
  <w:style w:type="character" w:customStyle="1" w:styleId="50">
    <w:name w:val="批注主题 字符"/>
    <w:basedOn w:val="46"/>
    <w:link w:val="8"/>
    <w:semiHidden/>
    <w:qFormat/>
    <w:uiPriority w:val="99"/>
    <w:rPr>
      <w:b/>
      <w:bCs/>
    </w:rPr>
  </w:style>
  <w:style w:type="paragraph" w:customStyle="1" w:styleId="51">
    <w:name w:val="List Paragraph"/>
    <w:basedOn w:val="1"/>
    <w:qFormat/>
    <w:uiPriority w:val="34"/>
    <w:pPr>
      <w:ind w:firstLine="420" w:firstLineChars="200"/>
    </w:pPr>
  </w:style>
  <w:style w:type="paragraph" w:customStyle="1" w:styleId="52">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3">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4">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5">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kern w:val="0"/>
      <w:sz w:val="24"/>
      <w:szCs w:val="24"/>
    </w:rPr>
  </w:style>
  <w:style w:type="paragraph" w:customStyle="1" w:styleId="5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kern w:val="0"/>
      <w:sz w:val="24"/>
      <w:szCs w:val="24"/>
    </w:rPr>
  </w:style>
  <w:style w:type="paragraph" w:customStyle="1" w:styleId="5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华文中宋" w:hAnsi="华文中宋" w:eastAsia="华文中宋" w:cs="宋体"/>
      <w:kern w:val="0"/>
      <w:sz w:val="24"/>
      <w:szCs w:val="24"/>
    </w:rPr>
  </w:style>
  <w:style w:type="paragraph" w:customStyle="1" w:styleId="5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6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szCs w:val="24"/>
    </w:rPr>
  </w:style>
  <w:style w:type="paragraph" w:customStyle="1" w:styleId="6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65">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8">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69">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kern w:val="0"/>
      <w:sz w:val="24"/>
      <w:szCs w:val="24"/>
    </w:rPr>
  </w:style>
  <w:style w:type="paragraph" w:customStyle="1" w:styleId="70">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color w:val="FF0000"/>
      <w:kern w:val="0"/>
      <w:sz w:val="24"/>
      <w:szCs w:val="24"/>
    </w:rPr>
  </w:style>
  <w:style w:type="paragraph" w:customStyle="1" w:styleId="71">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kern w:val="0"/>
      <w:sz w:val="24"/>
      <w:szCs w:val="24"/>
    </w:rPr>
  </w:style>
  <w:style w:type="paragraph" w:customStyle="1" w:styleId="72">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eastAsia="宋体" w:cs="宋体"/>
      <w:kern w:val="0"/>
      <w:sz w:val="24"/>
      <w:szCs w:val="24"/>
    </w:rPr>
  </w:style>
  <w:style w:type="paragraph" w:customStyle="1" w:styleId="73">
    <w:name w:val="标准文字"/>
    <w:basedOn w:val="1"/>
    <w:link w:val="74"/>
    <w:qFormat/>
    <w:uiPriority w:val="99"/>
    <w:pPr>
      <w:overflowPunct w:val="0"/>
      <w:snapToGrid w:val="0"/>
      <w:spacing w:line="360" w:lineRule="auto"/>
      <w:ind w:firstLine="640" w:firstLineChars="200"/>
    </w:pPr>
    <w:rPr>
      <w:rFonts w:ascii="Times New Roman" w:hAnsi="Times New Roman" w:eastAsia="仿宋_GB2312" w:cs="Times New Roman"/>
      <w:kern w:val="0"/>
      <w:sz w:val="32"/>
      <w:szCs w:val="32"/>
    </w:rPr>
  </w:style>
  <w:style w:type="character" w:customStyle="1" w:styleId="74">
    <w:name w:val="标准文字 Char"/>
    <w:link w:val="73"/>
    <w:qFormat/>
    <w:locked/>
    <w:uiPriority w:val="99"/>
    <w:rPr>
      <w:rFonts w:ascii="Times New Roman" w:hAnsi="Times New Roman" w:eastAsia="仿宋_GB2312" w:cs="Times New Roman"/>
      <w:kern w:val="0"/>
      <w:sz w:val="32"/>
      <w:szCs w:val="32"/>
    </w:rPr>
  </w:style>
  <w:style w:type="paragraph" w:customStyle="1" w:styleId="75">
    <w:name w:val="font8"/>
    <w:basedOn w:val="1"/>
    <w:qFormat/>
    <w:uiPriority w:val="0"/>
    <w:pPr>
      <w:widowControl/>
      <w:spacing w:before="100" w:beforeAutospacing="1" w:after="100" w:afterAutospacing="1"/>
      <w:jc w:val="left"/>
    </w:pPr>
    <w:rPr>
      <w:rFonts w:ascii="仿宋" w:hAnsi="仿宋" w:eastAsia="仿宋" w:cs="宋体"/>
      <w:kern w:val="0"/>
      <w:sz w:val="20"/>
      <w:szCs w:val="20"/>
    </w:rPr>
  </w:style>
  <w:style w:type="paragraph" w:customStyle="1" w:styleId="76">
    <w:name w:val="font9"/>
    <w:basedOn w:val="1"/>
    <w:qFormat/>
    <w:uiPriority w:val="0"/>
    <w:pPr>
      <w:widowControl/>
      <w:spacing w:before="100" w:beforeAutospacing="1" w:after="100" w:afterAutospacing="1"/>
      <w:jc w:val="left"/>
    </w:pPr>
    <w:rPr>
      <w:rFonts w:ascii="仿宋" w:hAnsi="仿宋" w:eastAsia="仿宋" w:cs="宋体"/>
      <w:color w:val="000000"/>
      <w:kern w:val="0"/>
      <w:sz w:val="20"/>
      <w:szCs w:val="20"/>
    </w:rPr>
  </w:style>
  <w:style w:type="paragraph" w:customStyle="1" w:styleId="77">
    <w:name w:val="xl6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8">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方正仿宋" w:hAnsi="宋体" w:eastAsia="方正仿宋" w:cs="宋体"/>
      <w:kern w:val="0"/>
      <w:sz w:val="20"/>
      <w:szCs w:val="20"/>
    </w:rPr>
  </w:style>
  <w:style w:type="character" w:customStyle="1" w:styleId="79">
    <w:name w:val="font71"/>
    <w:basedOn w:val="29"/>
    <w:qFormat/>
    <w:uiPriority w:val="0"/>
    <w:rPr>
      <w:rFonts w:hint="eastAsia" w:ascii="方正仿宋" w:hAnsi="方正仿宋" w:eastAsia="方正仿宋" w:cs="方正仿宋"/>
      <w:color w:val="000000"/>
      <w:sz w:val="22"/>
      <w:szCs w:val="22"/>
      <w:u w:val="none"/>
      <w:vertAlign w:val="superscript"/>
    </w:rPr>
  </w:style>
  <w:style w:type="character" w:customStyle="1" w:styleId="80">
    <w:name w:val="font51"/>
    <w:basedOn w:val="29"/>
    <w:qFormat/>
    <w:uiPriority w:val="0"/>
    <w:rPr>
      <w:rFonts w:hint="eastAsia" w:ascii="方正仿宋" w:hAnsi="方正仿宋" w:eastAsia="方正仿宋" w:cs="方正仿宋"/>
      <w:color w:val="000000"/>
      <w:sz w:val="22"/>
      <w:szCs w:val="22"/>
      <w:u w:val="none"/>
    </w:rPr>
  </w:style>
  <w:style w:type="paragraph" w:customStyle="1" w:styleId="81">
    <w:name w:val="样式3"/>
    <w:basedOn w:val="1"/>
    <w:link w:val="82"/>
    <w:qFormat/>
    <w:uiPriority w:val="0"/>
    <w:pPr>
      <w:spacing w:line="360" w:lineRule="auto"/>
      <w:ind w:firstLine="562" w:firstLineChars="200"/>
      <w:jc w:val="center"/>
    </w:pPr>
    <w:rPr>
      <w:rFonts w:ascii="仿宋" w:hAnsi="仿宋" w:eastAsia="仿宋" w:cs="Times New Roman"/>
      <w:b/>
      <w:bCs/>
      <w:sz w:val="28"/>
      <w:szCs w:val="28"/>
    </w:rPr>
  </w:style>
  <w:style w:type="character" w:customStyle="1" w:styleId="82">
    <w:name w:val="样式3 字符"/>
    <w:basedOn w:val="29"/>
    <w:link w:val="81"/>
    <w:qFormat/>
    <w:uiPriority w:val="0"/>
    <w:rPr>
      <w:rFonts w:ascii="仿宋" w:hAnsi="仿宋" w:eastAsia="仿宋" w:cs="Times New Roman"/>
      <w:b/>
      <w:bCs/>
      <w:sz w:val="28"/>
      <w:szCs w:val="28"/>
    </w:rPr>
  </w:style>
  <w:style w:type="paragraph" w:customStyle="1" w:styleId="83">
    <w:name w:val="一标题"/>
    <w:basedOn w:val="1"/>
    <w:link w:val="84"/>
    <w:qFormat/>
    <w:uiPriority w:val="0"/>
    <w:pPr>
      <w:spacing w:line="720" w:lineRule="auto"/>
      <w:jc w:val="center"/>
    </w:pPr>
    <w:rPr>
      <w:rFonts w:ascii="黑体" w:hAnsi="黑体" w:eastAsia="黑体"/>
      <w:b/>
      <w:bCs/>
      <w:sz w:val="96"/>
      <w:szCs w:val="96"/>
    </w:rPr>
  </w:style>
  <w:style w:type="character" w:customStyle="1" w:styleId="84">
    <w:name w:val="一标题 字符"/>
    <w:basedOn w:val="29"/>
    <w:link w:val="83"/>
    <w:qFormat/>
    <w:uiPriority w:val="0"/>
    <w:rPr>
      <w:rFonts w:ascii="黑体" w:hAnsi="黑体" w:eastAsia="黑体"/>
      <w:b/>
      <w:bCs/>
      <w:sz w:val="96"/>
      <w:szCs w:val="96"/>
    </w:rPr>
  </w:style>
  <w:style w:type="paragraph" w:customStyle="1" w:styleId="85">
    <w:name w:val="二标题"/>
    <w:basedOn w:val="42"/>
    <w:link w:val="86"/>
    <w:qFormat/>
    <w:uiPriority w:val="0"/>
    <w:pPr>
      <w:spacing w:line="360" w:lineRule="auto"/>
      <w:ind w:firstLine="562" w:firstLineChars="200"/>
      <w:outlineLvl w:val="9"/>
    </w:pPr>
    <w:rPr>
      <w:rFonts w:cs="Times New Roman"/>
    </w:rPr>
  </w:style>
  <w:style w:type="character" w:customStyle="1" w:styleId="86">
    <w:name w:val="二标题 字符"/>
    <w:basedOn w:val="43"/>
    <w:link w:val="85"/>
    <w:qFormat/>
    <w:uiPriority w:val="0"/>
    <w:rPr>
      <w:rFonts w:ascii="仿宋" w:hAnsi="仿宋" w:eastAsia="仿宋" w:cs="Times New Roman"/>
      <w:sz w:val="28"/>
      <w:szCs w:val="28"/>
    </w:rPr>
  </w:style>
  <w:style w:type="paragraph" w:customStyle="1" w:styleId="87">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88">
    <w:name w:val="样式4"/>
    <w:basedOn w:val="1"/>
    <w:link w:val="89"/>
    <w:qFormat/>
    <w:uiPriority w:val="0"/>
    <w:pPr>
      <w:tabs>
        <w:tab w:val="left" w:pos="50"/>
      </w:tabs>
      <w:spacing w:before="312" w:beforeLines="100" w:line="720" w:lineRule="auto"/>
      <w:jc w:val="center"/>
    </w:pPr>
    <w:rPr>
      <w:rFonts w:ascii="仿宋_GB2312" w:hAnsi="仿宋_GB2312" w:eastAsia="仿宋_GB2312" w:cs="仿宋_GB2312"/>
      <w:b/>
      <w:sz w:val="52"/>
      <w:szCs w:val="72"/>
    </w:rPr>
  </w:style>
  <w:style w:type="character" w:customStyle="1" w:styleId="89">
    <w:name w:val="样式4 字符"/>
    <w:basedOn w:val="29"/>
    <w:link w:val="88"/>
    <w:qFormat/>
    <w:uiPriority w:val="0"/>
    <w:rPr>
      <w:rFonts w:ascii="仿宋_GB2312" w:hAnsi="仿宋_GB2312" w:eastAsia="仿宋_GB2312" w:cs="仿宋_GB2312"/>
      <w:b/>
      <w:sz w:val="52"/>
      <w:szCs w:val="72"/>
    </w:rPr>
  </w:style>
  <w:style w:type="paragraph" w:customStyle="1" w:styleId="90">
    <w:name w:val="样式5"/>
    <w:basedOn w:val="83"/>
    <w:link w:val="91"/>
    <w:qFormat/>
    <w:uiPriority w:val="0"/>
    <w:pPr>
      <w:spacing w:line="240" w:lineRule="auto"/>
    </w:pPr>
  </w:style>
  <w:style w:type="character" w:customStyle="1" w:styleId="91">
    <w:name w:val="样式5 字符"/>
    <w:basedOn w:val="84"/>
    <w:link w:val="90"/>
    <w:qFormat/>
    <w:uiPriority w:val="0"/>
    <w:rPr>
      <w:rFonts w:ascii="黑体" w:hAnsi="黑体" w:eastAsia="黑体"/>
      <w:sz w:val="96"/>
      <w:szCs w:val="96"/>
    </w:rPr>
  </w:style>
  <w:style w:type="paragraph" w:customStyle="1" w:styleId="92">
    <w:name w:val="TOC 标题2"/>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93">
    <w:name w:val="网格型9"/>
    <w:basedOn w:val="34"/>
    <w:qFormat/>
    <w:uiPriority w:val="3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4">
    <w:name w:val="10"/>
    <w:basedOn w:val="29"/>
    <w:qFormat/>
    <w:uiPriority w:val="0"/>
    <w:rPr>
      <w:rFonts w:hint="default" w:ascii="Calibri" w:hAnsi="Calibri" w:cs="Calibri"/>
    </w:rPr>
  </w:style>
  <w:style w:type="character" w:customStyle="1" w:styleId="95">
    <w:name w:val="15"/>
    <w:basedOn w:val="29"/>
    <w:qFormat/>
    <w:uiPriority w:val="0"/>
    <w:rPr>
      <w:rFonts w:hint="default" w:ascii="Calibri" w:hAnsi="Calibri" w:cs="Calibri"/>
      <w:sz w:val="21"/>
      <w:szCs w:val="21"/>
    </w:rPr>
  </w:style>
  <w:style w:type="table" w:customStyle="1" w:styleId="96">
    <w:name w:val="网格型3"/>
    <w:basedOn w:val="34"/>
    <w:qFormat/>
    <w:uiPriority w:val="3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97">
    <w:name w:val="网格型2"/>
    <w:basedOn w:val="34"/>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8">
    <w:name w:val="bjh-p"/>
    <w:basedOn w:val="29"/>
    <w:qFormat/>
    <w:uiPriority w:val="0"/>
  </w:style>
  <w:style w:type="character" w:customStyle="1" w:styleId="99">
    <w:name w:val="bjh-strong"/>
    <w:basedOn w:val="29"/>
    <w:qFormat/>
    <w:uiPriority w:val="0"/>
  </w:style>
  <w:style w:type="paragraph" w:customStyle="1" w:styleId="100">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101">
    <w:name w:val="网格型8"/>
    <w:basedOn w:val="34"/>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2">
    <w:name w:val="表内"/>
    <w:basedOn w:val="1"/>
    <w:link w:val="103"/>
    <w:qFormat/>
    <w:uiPriority w:val="0"/>
    <w:pPr>
      <w:widowControl/>
      <w:spacing w:line="360" w:lineRule="auto"/>
      <w:jc w:val="center"/>
    </w:pPr>
    <w:rPr>
      <w:rFonts w:ascii="Arial" w:hAnsi="Arial" w:eastAsia="仿宋" w:cs="Arial"/>
      <w:kern w:val="0"/>
      <w:sz w:val="24"/>
      <w:szCs w:val="20"/>
    </w:rPr>
  </w:style>
  <w:style w:type="character" w:customStyle="1" w:styleId="103">
    <w:name w:val="表内 字符"/>
    <w:basedOn w:val="29"/>
    <w:link w:val="102"/>
    <w:qFormat/>
    <w:uiPriority w:val="0"/>
    <w:rPr>
      <w:rFonts w:ascii="Arial" w:hAnsi="Arial" w:eastAsia="仿宋" w:cs="Arial"/>
      <w:kern w:val="0"/>
      <w:sz w:val="24"/>
      <w:szCs w:val="20"/>
    </w:rPr>
  </w:style>
  <w:style w:type="character" w:customStyle="1" w:styleId="104">
    <w:name w:val="标题 6 字符"/>
    <w:basedOn w:val="29"/>
    <w:link w:val="7"/>
    <w:semiHidden/>
    <w:qFormat/>
    <w:uiPriority w:val="9"/>
    <w:rPr>
      <w:rFonts w:asciiTheme="majorHAnsi" w:hAnsiTheme="majorHAnsi" w:eastAsiaTheme="majorEastAsia" w:cstheme="majorBidi"/>
      <w:b/>
      <w:bCs/>
      <w:sz w:val="24"/>
      <w:szCs w:val="24"/>
    </w:rPr>
  </w:style>
  <w:style w:type="paragraph" w:customStyle="1" w:styleId="105">
    <w:name w:val="表格_段落"/>
    <w:basedOn w:val="1"/>
    <w:qFormat/>
    <w:uiPriority w:val="0"/>
    <w:pPr>
      <w:widowControl/>
      <w:kinsoku w:val="0"/>
      <w:autoSpaceDE w:val="0"/>
      <w:autoSpaceDN w:val="0"/>
      <w:adjustRightInd w:val="0"/>
      <w:snapToGrid w:val="0"/>
      <w:spacing w:after="50" w:afterLines="50" w:line="300" w:lineRule="auto"/>
      <w:ind w:firstLine="482" w:firstLineChars="200"/>
      <w:jc w:val="left"/>
      <w:textAlignment w:val="baseline"/>
    </w:pPr>
    <w:rPr>
      <w:rFonts w:ascii="Times New Roman" w:hAnsi="Times New Roman" w:eastAsia="仿宋_GB2312" w:cs="Arial"/>
      <w:snapToGrid w:val="0"/>
      <w:color w:val="000000"/>
      <w:kern w:val="0"/>
      <w:sz w:val="24"/>
      <w:szCs w:val="21"/>
      <w:lang w:eastAsia="en-US"/>
    </w:rPr>
  </w:style>
  <w:style w:type="paragraph" w:customStyle="1" w:styleId="106">
    <w:name w:val="表格_字词"/>
    <w:basedOn w:val="1"/>
    <w:qFormat/>
    <w:uiPriority w:val="0"/>
    <w:pPr>
      <w:widowControl/>
      <w:kinsoku w:val="0"/>
      <w:autoSpaceDE w:val="0"/>
      <w:autoSpaceDN w:val="0"/>
      <w:adjustRightInd w:val="0"/>
      <w:snapToGrid w:val="0"/>
      <w:spacing w:before="20" w:beforeLines="20" w:after="20" w:afterLines="20"/>
      <w:jc w:val="left"/>
      <w:textAlignment w:val="baseline"/>
    </w:pPr>
    <w:rPr>
      <w:rFonts w:ascii="Times New Roman" w:hAnsi="Times New Roman" w:eastAsia="仿宋_GB2312" w:cs="仿宋_GB2312"/>
      <w:snapToGrid w:val="0"/>
      <w:color w:val="000000"/>
      <w:kern w:val="0"/>
      <w:sz w:val="24"/>
      <w:szCs w:val="21"/>
    </w:rPr>
  </w:style>
  <w:style w:type="paragraph" w:customStyle="1" w:styleId="107">
    <w:name w:val="表格_竖"/>
    <w:basedOn w:val="1"/>
    <w:qFormat/>
    <w:uiPriority w:val="0"/>
    <w:pPr>
      <w:widowControl/>
      <w:kinsoku w:val="0"/>
      <w:autoSpaceDE w:val="0"/>
      <w:autoSpaceDN w:val="0"/>
      <w:adjustRightInd w:val="0"/>
      <w:snapToGrid w:val="0"/>
      <w:spacing w:before="20" w:beforeLines="20" w:after="20" w:afterLines="20"/>
      <w:jc w:val="center"/>
      <w:textAlignment w:val="baseline"/>
    </w:pPr>
    <w:rPr>
      <w:rFonts w:ascii="Times New Roman" w:hAnsi="Times New Roman" w:eastAsia="仿宋_GB2312" w:cs="Arial"/>
      <w:snapToGrid w:val="0"/>
      <w:color w:val="000000"/>
      <w:kern w:val="0"/>
      <w:sz w:val="24"/>
      <w:szCs w:val="21"/>
      <w:lang w:eastAsia="en-US"/>
    </w:rPr>
  </w:style>
  <w:style w:type="character" w:customStyle="1" w:styleId="108">
    <w:name w:val="标题 1 字符1"/>
    <w:qFormat/>
    <w:uiPriority w:val="0"/>
    <w:rPr>
      <w:rFonts w:ascii="Times New Roman" w:hAnsi="Times New Roman" w:eastAsia="仿宋" w:cs="Times New Roman"/>
      <w:b/>
      <w:bCs/>
      <w:kern w:val="44"/>
      <w:sz w:val="44"/>
      <w:szCs w:val="44"/>
      <w:lang w:bidi="en-US"/>
    </w:rPr>
  </w:style>
  <w:style w:type="character" w:customStyle="1" w:styleId="109">
    <w:name w:val="标题 2 字符1"/>
    <w:qFormat/>
    <w:uiPriority w:val="0"/>
    <w:rPr>
      <w:rFonts w:ascii="等线 Light" w:hAnsi="等线 Light" w:eastAsia="等线 Light" w:cs="Times New Roman"/>
      <w:b/>
      <w:bCs/>
      <w:kern w:val="2"/>
      <w:sz w:val="32"/>
      <w:szCs w:val="32"/>
      <w:lang w:bidi="en-US"/>
    </w:rPr>
  </w:style>
  <w:style w:type="character" w:customStyle="1" w:styleId="110">
    <w:name w:val="标题 字符"/>
    <w:basedOn w:val="29"/>
    <w:link w:val="28"/>
    <w:qFormat/>
    <w:uiPriority w:val="0"/>
    <w:rPr>
      <w:rFonts w:ascii="等线 Light" w:hAnsi="等线 Light" w:eastAsia="宋体" w:cs="Times New Roman"/>
      <w:b/>
      <w:bCs/>
      <w:sz w:val="32"/>
      <w:szCs w:val="32"/>
      <w:lang w:bidi="en-US"/>
    </w:rPr>
  </w:style>
  <w:style w:type="character" w:customStyle="1" w:styleId="111">
    <w:name w:val="标题 3 字符1"/>
    <w:qFormat/>
    <w:uiPriority w:val="0"/>
    <w:rPr>
      <w:rFonts w:ascii="等线 Light" w:hAnsi="等线 Light" w:eastAsia="宋体" w:cs="Times New Roman"/>
      <w:b/>
      <w:bCs/>
      <w:kern w:val="2"/>
      <w:sz w:val="32"/>
      <w:szCs w:val="32"/>
    </w:rPr>
  </w:style>
  <w:style w:type="character" w:customStyle="1" w:styleId="112">
    <w:name w:val="批注文字 字符1"/>
    <w:qFormat/>
    <w:uiPriority w:val="0"/>
    <w:rPr>
      <w:rFonts w:ascii="Times New Roman" w:hAnsi="Times New Roman" w:eastAsia="仿宋" w:cs="Times New Roman"/>
      <w:kern w:val="2"/>
      <w:sz w:val="28"/>
      <w:lang w:bidi="en-US"/>
    </w:rPr>
  </w:style>
  <w:style w:type="character" w:customStyle="1" w:styleId="113">
    <w:name w:val="正文文本 字符"/>
    <w:basedOn w:val="29"/>
    <w:link w:val="13"/>
    <w:qFormat/>
    <w:uiPriority w:val="0"/>
    <w:rPr>
      <w:rFonts w:ascii="Times New Roman" w:hAnsi="Times New Roman" w:eastAsia="仿宋" w:cs="Times New Roman"/>
      <w:sz w:val="28"/>
      <w:szCs w:val="20"/>
      <w:lang w:bidi="en-US"/>
    </w:rPr>
  </w:style>
  <w:style w:type="character" w:customStyle="1" w:styleId="114">
    <w:name w:val="正文文本缩进 字符"/>
    <w:basedOn w:val="29"/>
    <w:link w:val="14"/>
    <w:qFormat/>
    <w:uiPriority w:val="0"/>
    <w:rPr>
      <w:rFonts w:ascii="Times New Roman" w:hAnsi="Times New Roman" w:eastAsia="仿宋" w:cs="Times New Roman"/>
      <w:sz w:val="28"/>
      <w:szCs w:val="20"/>
      <w:lang w:bidi="en-US"/>
    </w:rPr>
  </w:style>
  <w:style w:type="character" w:customStyle="1" w:styleId="115">
    <w:name w:val="批注框文本 字符1"/>
    <w:qFormat/>
    <w:uiPriority w:val="0"/>
    <w:rPr>
      <w:rFonts w:ascii="Times New Roman" w:hAnsi="Times New Roman" w:eastAsia="仿宋" w:cs="Times New Roman"/>
      <w:kern w:val="2"/>
      <w:sz w:val="18"/>
      <w:szCs w:val="18"/>
      <w:lang w:bidi="en-US"/>
    </w:rPr>
  </w:style>
  <w:style w:type="character" w:customStyle="1" w:styleId="116">
    <w:name w:val="页脚 字符1"/>
    <w:qFormat/>
    <w:uiPriority w:val="0"/>
    <w:rPr>
      <w:rFonts w:ascii="Times New Roman" w:hAnsi="Times New Roman" w:eastAsia="仿宋" w:cs="Times New Roman"/>
      <w:kern w:val="2"/>
      <w:sz w:val="18"/>
      <w:szCs w:val="18"/>
      <w:lang w:bidi="en-US"/>
    </w:rPr>
  </w:style>
  <w:style w:type="character" w:customStyle="1" w:styleId="117">
    <w:name w:val="页眉 字符1"/>
    <w:qFormat/>
    <w:uiPriority w:val="0"/>
    <w:rPr>
      <w:rFonts w:ascii="Times New Roman" w:hAnsi="Times New Roman" w:eastAsia="仿宋" w:cs="Times New Roman"/>
      <w:kern w:val="2"/>
      <w:sz w:val="18"/>
      <w:szCs w:val="18"/>
      <w:lang w:bidi="en-US"/>
    </w:rPr>
  </w:style>
  <w:style w:type="character" w:customStyle="1" w:styleId="118">
    <w:name w:val="副标题 字符"/>
    <w:basedOn w:val="29"/>
    <w:link w:val="23"/>
    <w:qFormat/>
    <w:uiPriority w:val="0"/>
    <w:rPr>
      <w:rFonts w:ascii="黑体" w:hAnsi="黑体" w:eastAsia="黑体" w:cs="Times New Roman"/>
      <w:color w:val="000000"/>
      <w:sz w:val="36"/>
      <w:szCs w:val="30"/>
    </w:rPr>
  </w:style>
  <w:style w:type="character" w:customStyle="1" w:styleId="119">
    <w:name w:val="批注主题 字符2"/>
    <w:qFormat/>
    <w:uiPriority w:val="0"/>
    <w:rPr>
      <w:rFonts w:ascii="等线" w:hAnsi="等线" w:eastAsia="等线" w:cs="Times New Roman"/>
      <w:b/>
      <w:bCs/>
      <w:kern w:val="2"/>
      <w:sz w:val="21"/>
      <w:szCs w:val="22"/>
      <w:lang w:bidi="en-US"/>
    </w:rPr>
  </w:style>
  <w:style w:type="character" w:customStyle="1" w:styleId="120">
    <w:name w:val="正文文本首行缩进 2 字符"/>
    <w:basedOn w:val="114"/>
    <w:qFormat/>
    <w:uiPriority w:val="0"/>
    <w:rPr>
      <w:rFonts w:ascii="Times New Roman" w:hAnsi="Times New Roman" w:eastAsia="仿宋" w:cs="Times New Roman"/>
      <w:sz w:val="28"/>
      <w:szCs w:val="20"/>
      <w:lang w:bidi="en-US"/>
    </w:rPr>
  </w:style>
  <w:style w:type="character" w:customStyle="1" w:styleId="121">
    <w:name w:val="正文文本首行缩进 2 字符1"/>
    <w:link w:val="19"/>
    <w:qFormat/>
    <w:uiPriority w:val="0"/>
    <w:rPr>
      <w:rFonts w:ascii="Times New Roman" w:hAnsi="Times New Roman" w:eastAsia="宋体" w:cs="Times New Roman"/>
      <w:sz w:val="28"/>
      <w:szCs w:val="20"/>
      <w:lang w:bidi="en-US"/>
    </w:rPr>
  </w:style>
  <w:style w:type="table" w:customStyle="1" w:styleId="122">
    <w:name w:val="网格型4"/>
    <w:basedOn w:val="34"/>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3">
    <w:name w:val="页脚 Char"/>
    <w:qFormat/>
    <w:uiPriority w:val="0"/>
    <w:rPr>
      <w:rFonts w:ascii="Times New Roman" w:hAnsi="Times New Roman" w:eastAsia="宋体" w:cs="Times New Roman"/>
      <w:sz w:val="18"/>
      <w:szCs w:val="18"/>
    </w:rPr>
  </w:style>
  <w:style w:type="character" w:customStyle="1" w:styleId="124">
    <w:name w:val="表格1 Char"/>
    <w:link w:val="125"/>
    <w:qFormat/>
    <w:uiPriority w:val="0"/>
    <w:rPr>
      <w:rFonts w:ascii="Times New Roman" w:hAnsi="Times New Roman" w:eastAsia="方正仿宋_GBK" w:cs="Times New Roman"/>
      <w:color w:val="000000"/>
      <w:szCs w:val="24"/>
    </w:rPr>
  </w:style>
  <w:style w:type="paragraph" w:customStyle="1" w:styleId="125">
    <w:name w:val="表格1"/>
    <w:basedOn w:val="1"/>
    <w:link w:val="124"/>
    <w:qFormat/>
    <w:uiPriority w:val="0"/>
    <w:pPr>
      <w:adjustRightInd w:val="0"/>
      <w:snapToGrid w:val="0"/>
      <w:jc w:val="center"/>
    </w:pPr>
    <w:rPr>
      <w:rFonts w:ascii="Times New Roman" w:hAnsi="Times New Roman" w:eastAsia="方正仿宋_GBK" w:cs="Times New Roman"/>
      <w:color w:val="000000"/>
      <w:szCs w:val="24"/>
    </w:rPr>
  </w:style>
  <w:style w:type="paragraph" w:customStyle="1" w:styleId="12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27">
    <w:name w:val="_Style 13"/>
    <w:basedOn w:val="14"/>
    <w:next w:val="19"/>
    <w:qFormat/>
    <w:uiPriority w:val="0"/>
    <w:pPr>
      <w:ind w:firstLine="420"/>
    </w:pPr>
    <w:rPr>
      <w:rFonts w:eastAsia="宋体"/>
    </w:rPr>
  </w:style>
  <w:style w:type="paragraph" w:customStyle="1" w:styleId="128">
    <w:name w:val="WPSOffice手动目录 1"/>
    <w:qFormat/>
    <w:uiPriority w:val="0"/>
    <w:rPr>
      <w:rFonts w:ascii="Times New Roman" w:hAnsi="Times New Roman" w:eastAsia="宋体" w:cs="Times New Roman"/>
      <w:lang w:val="en-US" w:eastAsia="zh-CN" w:bidi="ar-SA"/>
    </w:rPr>
  </w:style>
  <w:style w:type="paragraph" w:customStyle="1" w:styleId="129">
    <w:name w:val="_Style 15"/>
    <w:basedOn w:val="1"/>
    <w:next w:val="51"/>
    <w:qFormat/>
    <w:uiPriority w:val="0"/>
    <w:pPr>
      <w:widowControl/>
      <w:adjustRightInd w:val="0"/>
      <w:snapToGrid w:val="0"/>
      <w:spacing w:line="360" w:lineRule="auto"/>
      <w:ind w:firstLine="420" w:firstLineChars="200"/>
    </w:pPr>
    <w:rPr>
      <w:rFonts w:ascii="Times New Roman" w:hAnsi="Times New Roman" w:eastAsia="宋体" w:cs="Times New Roman"/>
      <w:sz w:val="28"/>
      <w:szCs w:val="20"/>
      <w:lang w:bidi="en-US"/>
    </w:rPr>
  </w:style>
  <w:style w:type="paragraph" w:customStyle="1" w:styleId="130">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31">
    <w:name w:val="列出段落8"/>
    <w:basedOn w:val="1"/>
    <w:qFormat/>
    <w:uiPriority w:val="0"/>
    <w:pPr>
      <w:widowControl/>
      <w:adjustRightInd w:val="0"/>
      <w:snapToGrid w:val="0"/>
      <w:spacing w:line="360" w:lineRule="auto"/>
      <w:ind w:firstLine="420" w:firstLineChars="200"/>
    </w:pPr>
    <w:rPr>
      <w:rFonts w:ascii="Calibri" w:hAnsi="Calibri" w:eastAsia="宋体" w:cs="Times New Roman"/>
      <w:sz w:val="28"/>
      <w:szCs w:val="20"/>
      <w:lang w:bidi="en-US"/>
    </w:rPr>
  </w:style>
  <w:style w:type="table" w:customStyle="1" w:styleId="132">
    <w:name w:val="网格型11"/>
    <w:basedOn w:val="34"/>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33">
    <w:name w:val="网格型21"/>
    <w:basedOn w:val="34"/>
    <w:qFormat/>
    <w:uiPriority w:val="39"/>
    <w:rPr>
      <w:rFonts w:ascii="Times New Roman" w:hAnsi="Times New Roman"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34">
    <w:name w:val="网格型81"/>
    <w:basedOn w:val="34"/>
    <w:qFormat/>
    <w:uiPriority w:val="39"/>
    <w:rPr>
      <w:rFonts w:ascii="Times New Roman" w:hAnsi="Times New Roman"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35">
    <w:name w:val="网格型51"/>
    <w:basedOn w:val="34"/>
    <w:qFormat/>
    <w:uiPriority w:val="3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6">
    <w:name w:val="批注主题 字符1"/>
    <w:semiHidden/>
    <w:qFormat/>
    <w:uiPriority w:val="99"/>
    <w:rPr>
      <w:rFonts w:ascii="Times New Roman" w:hAnsi="Times New Roman" w:eastAsia="宋体" w:cs="Times New Roman"/>
      <w:b/>
      <w:bCs/>
    </w:rPr>
  </w:style>
  <w:style w:type="table" w:customStyle="1" w:styleId="137">
    <w:name w:val="网格型91"/>
    <w:basedOn w:val="34"/>
    <w:qFormat/>
    <w:uiPriority w:val="3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38">
    <w:name w:val="网格型31"/>
    <w:basedOn w:val="34"/>
    <w:qFormat/>
    <w:uiPriority w:val="3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9">
    <w:name w:val="_Style 52"/>
    <w:basedOn w:val="3"/>
    <w:next w:val="1"/>
    <w:qFormat/>
    <w:uiPriority w:val="39"/>
    <w:pPr>
      <w:widowControl/>
      <w:spacing w:before="240" w:after="0" w:line="259" w:lineRule="auto"/>
      <w:jc w:val="left"/>
      <w:outlineLvl w:val="9"/>
    </w:pPr>
    <w:rPr>
      <w:rFonts w:ascii="等线 Light" w:hAnsi="等线 Light" w:eastAsia="等线 Light" w:cs="Times New Roman"/>
      <w:b w:val="0"/>
      <w:bCs w:val="0"/>
      <w:color w:val="2E74B5"/>
      <w:kern w:val="0"/>
      <w:sz w:val="32"/>
      <w:szCs w:val="32"/>
    </w:rPr>
  </w:style>
  <w:style w:type="table" w:customStyle="1" w:styleId="140">
    <w:name w:val="网格型22"/>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1">
    <w:name w:val="font61"/>
    <w:basedOn w:val="29"/>
    <w:qFormat/>
    <w:uiPriority w:val="0"/>
    <w:rPr>
      <w:rFonts w:hint="eastAsia" w:ascii="仿宋" w:hAnsi="仿宋" w:eastAsia="仿宋" w:cs="仿宋"/>
      <w:color w:val="000000"/>
      <w:sz w:val="28"/>
      <w:szCs w:val="28"/>
      <w:u w:val="none"/>
    </w:rPr>
  </w:style>
  <w:style w:type="character" w:customStyle="1" w:styleId="142">
    <w:name w:val="font41"/>
    <w:basedOn w:val="29"/>
    <w:qFormat/>
    <w:uiPriority w:val="0"/>
    <w:rPr>
      <w:rFonts w:hint="default" w:ascii="Times New Roman" w:hAnsi="Times New Roman" w:eastAsia="宋体" w:cs="Times New Roman"/>
      <w:color w:val="000000"/>
      <w:sz w:val="28"/>
      <w:szCs w:val="28"/>
      <w:u w:val="none"/>
    </w:rPr>
  </w:style>
  <w:style w:type="character" w:customStyle="1" w:styleId="143">
    <w:name w:val="font31"/>
    <w:basedOn w:val="29"/>
    <w:qFormat/>
    <w:uiPriority w:val="0"/>
    <w:rPr>
      <w:rFonts w:hint="default" w:ascii="Times New Roman" w:hAnsi="Times New Roman" w:eastAsia="宋体" w:cs="Times New Roman"/>
      <w:color w:val="000000"/>
      <w:sz w:val="28"/>
      <w:szCs w:val="28"/>
      <w:u w:val="none"/>
    </w:rPr>
  </w:style>
  <w:style w:type="character" w:customStyle="1" w:styleId="144">
    <w:name w:val="font11"/>
    <w:basedOn w:val="29"/>
    <w:qFormat/>
    <w:uiPriority w:val="0"/>
    <w:rPr>
      <w:rFonts w:hint="default" w:ascii="Times New Roman" w:hAnsi="Times New Roman" w:eastAsia="宋体" w:cs="Times New Roman"/>
      <w:color w:val="000000"/>
      <w:sz w:val="22"/>
      <w:szCs w:val="22"/>
      <w:u w:val="none"/>
    </w:rPr>
  </w:style>
  <w:style w:type="paragraph" w:customStyle="1" w:styleId="145">
    <w:name w:val="表格内容"/>
    <w:basedOn w:val="1"/>
    <w:qFormat/>
    <w:uiPriority w:val="0"/>
    <w:pPr>
      <w:widowControl/>
      <w:adjustRightInd w:val="0"/>
      <w:snapToGrid w:val="0"/>
      <w:spacing w:line="360" w:lineRule="auto"/>
      <w:jc w:val="center"/>
    </w:pPr>
    <w:rPr>
      <w:rFonts w:hint="eastAsia" w:ascii="Times New Roman" w:hAnsi="Times New Roman" w:eastAsia="仿宋" w:cs="Times New Roman"/>
      <w:sz w:val="24"/>
      <w:szCs w:val="20"/>
      <w:lang w:bidi="en-US"/>
    </w:rPr>
  </w:style>
  <w:style w:type="character" w:customStyle="1" w:styleId="146">
    <w:name w:val="font81"/>
    <w:basedOn w:val="29"/>
    <w:qFormat/>
    <w:uiPriority w:val="0"/>
    <w:rPr>
      <w:rFonts w:hint="eastAsia" w:ascii="宋体" w:hAnsi="宋体" w:eastAsia="宋体" w:cs="宋体"/>
      <w:color w:val="000000"/>
      <w:sz w:val="21"/>
      <w:szCs w:val="21"/>
      <w:u w:val="none"/>
    </w:rPr>
  </w:style>
  <w:style w:type="character" w:customStyle="1" w:styleId="147">
    <w:name w:val="font91"/>
    <w:basedOn w:val="29"/>
    <w:qFormat/>
    <w:uiPriority w:val="0"/>
    <w:rPr>
      <w:rFonts w:hint="eastAsia" w:ascii="宋体" w:hAnsi="宋体" w:eastAsia="宋体" w:cs="宋体"/>
      <w:color w:val="000000"/>
      <w:sz w:val="22"/>
      <w:szCs w:val="22"/>
      <w:u w:val="none"/>
    </w:rPr>
  </w:style>
  <w:style w:type="character" w:customStyle="1" w:styleId="148">
    <w:name w:val="font01"/>
    <w:basedOn w:val="29"/>
    <w:qFormat/>
    <w:uiPriority w:val="0"/>
    <w:rPr>
      <w:rFonts w:hint="eastAsia" w:ascii="宋体" w:hAnsi="宋体" w:eastAsia="宋体" w:cs="宋体"/>
      <w:color w:val="000000"/>
      <w:sz w:val="22"/>
      <w:szCs w:val="22"/>
      <w:u w:val="none"/>
    </w:rPr>
  </w:style>
  <w:style w:type="character" w:customStyle="1" w:styleId="149">
    <w:name w:val="font101"/>
    <w:basedOn w:val="29"/>
    <w:qFormat/>
    <w:uiPriority w:val="0"/>
    <w:rPr>
      <w:rFonts w:hint="default" w:ascii="Times New Roman" w:hAnsi="Times New Roman" w:eastAsia="宋体" w:cs="Times New Roman"/>
      <w:color w:val="000000"/>
      <w:sz w:val="21"/>
      <w:szCs w:val="21"/>
      <w:u w:val="none"/>
      <w:vertAlign w:val="subscript"/>
    </w:rPr>
  </w:style>
  <w:style w:type="character" w:customStyle="1" w:styleId="150">
    <w:name w:val="font112"/>
    <w:basedOn w:val="29"/>
    <w:qFormat/>
    <w:uiPriority w:val="0"/>
    <w:rPr>
      <w:rFonts w:hint="default" w:ascii="Times New Roman" w:hAnsi="Times New Roman" w:eastAsia="宋体" w:cs="Times New Roman"/>
      <w:color w:val="000000"/>
      <w:sz w:val="21"/>
      <w:szCs w:val="21"/>
      <w:u w:val="none"/>
      <w:vertAlign w:val="superscript"/>
    </w:rPr>
  </w:style>
  <w:style w:type="table" w:customStyle="1" w:styleId="151">
    <w:name w:val="Table Normal"/>
    <w:unhideWhenUsed/>
    <w:qFormat/>
    <w:uiPriority w:val="2"/>
    <w:tblPr>
      <w:tblLayout w:type="fixed"/>
      <w:tblCellMar>
        <w:top w:w="0" w:type="dxa"/>
        <w:left w:w="0" w:type="dxa"/>
        <w:bottom w:w="0" w:type="dxa"/>
        <w:right w:w="0" w:type="dxa"/>
      </w:tblCellMar>
    </w:tblPr>
  </w:style>
  <w:style w:type="paragraph" w:customStyle="1" w:styleId="152">
    <w:name w:val="表内文字"/>
    <w:basedOn w:val="1"/>
    <w:link w:val="153"/>
    <w:qFormat/>
    <w:uiPriority w:val="0"/>
    <w:pPr>
      <w:autoSpaceDE w:val="0"/>
      <w:autoSpaceDN w:val="0"/>
      <w:spacing w:line="300" w:lineRule="auto"/>
    </w:pPr>
    <w:rPr>
      <w:rFonts w:ascii="Times New Roman" w:hAnsi="Times New Roman" w:eastAsia="仿宋" w:cs="Times New Roman"/>
      <w:kern w:val="0"/>
      <w:lang w:val="zh-CN" w:bidi="zh-CN"/>
    </w:rPr>
  </w:style>
  <w:style w:type="character" w:customStyle="1" w:styleId="153">
    <w:name w:val="表内文字 字符"/>
    <w:basedOn w:val="29"/>
    <w:link w:val="152"/>
    <w:qFormat/>
    <w:uiPriority w:val="0"/>
    <w:rPr>
      <w:rFonts w:ascii="Times New Roman" w:hAnsi="Times New Roman" w:eastAsia="仿宋" w:cs="Times New Roman"/>
      <w:kern w:val="0"/>
      <w:lang w:val="zh-CN" w:bidi="zh-CN"/>
    </w:rPr>
  </w:style>
  <w:style w:type="paragraph" w:customStyle="1" w:styleId="154">
    <w:name w:val="Default"/>
    <w:qFormat/>
    <w:uiPriority w:val="99"/>
    <w:pPr>
      <w:widowControl w:val="0"/>
      <w:autoSpaceDE w:val="0"/>
      <w:autoSpaceDN w:val="0"/>
      <w:adjustRightInd w:val="0"/>
    </w:pPr>
    <w:rPr>
      <w:rFonts w:ascii="仿宋" w:eastAsia="仿宋" w:cs="仿宋" w:hAnsiTheme="minorHAnsi"/>
      <w:color w:val="000000"/>
      <w:sz w:val="24"/>
      <w:szCs w:val="24"/>
      <w:lang w:val="en-US" w:eastAsia="zh-CN" w:bidi="ar-SA"/>
    </w:rPr>
  </w:style>
  <w:style w:type="paragraph" w:customStyle="1" w:styleId="155">
    <w:name w:val="Table Paragraph"/>
    <w:basedOn w:val="1"/>
    <w:link w:val="156"/>
    <w:qFormat/>
    <w:uiPriority w:val="1"/>
    <w:pPr>
      <w:autoSpaceDE w:val="0"/>
      <w:autoSpaceDN w:val="0"/>
      <w:jc w:val="left"/>
    </w:pPr>
    <w:rPr>
      <w:rFonts w:ascii="仿宋" w:hAnsi="仿宋" w:eastAsia="仿宋" w:cs="仿宋"/>
      <w:kern w:val="0"/>
      <w:sz w:val="22"/>
      <w:lang w:val="zh-CN" w:bidi="zh-CN"/>
    </w:rPr>
  </w:style>
  <w:style w:type="character" w:customStyle="1" w:styleId="156">
    <w:name w:val="Table Paragraph 字符"/>
    <w:basedOn w:val="29"/>
    <w:link w:val="155"/>
    <w:qFormat/>
    <w:uiPriority w:val="1"/>
    <w:rPr>
      <w:rFonts w:ascii="仿宋" w:hAnsi="仿宋" w:eastAsia="仿宋" w:cs="仿宋"/>
      <w:kern w:val="0"/>
      <w:sz w:val="22"/>
      <w:lang w:val="zh-CN" w:bidi="zh-CN"/>
    </w:rPr>
  </w:style>
  <w:style w:type="character" w:customStyle="1" w:styleId="157">
    <w:name w:val="font21"/>
    <w:basedOn w:val="29"/>
    <w:qFormat/>
    <w:uiPriority w:val="0"/>
    <w:rPr>
      <w:rFonts w:hint="default" w:ascii="Times New Roman" w:hAnsi="Times New Roman" w:cs="Times New Roman"/>
      <w:color w:val="000000"/>
      <w:sz w:val="21"/>
      <w:szCs w:val="21"/>
      <w:u w:val="none"/>
    </w:rPr>
  </w:style>
  <w:style w:type="table" w:customStyle="1" w:styleId="158">
    <w:name w:val="网格型12"/>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59">
    <w:name w:val="网格型13"/>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60">
    <w:name w:val="网格型23"/>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1">
    <w:name w:val="TOC 标题31"/>
    <w:basedOn w:val="3"/>
    <w:next w:val="1"/>
    <w:unhideWhenUsed/>
    <w:qFormat/>
    <w:uiPriority w:val="39"/>
    <w:pPr>
      <w:widowControl/>
      <w:spacing w:before="240" w:after="0" w:line="259" w:lineRule="auto"/>
      <w:jc w:val="left"/>
      <w:outlineLvl w:val="9"/>
    </w:pPr>
    <w:rPr>
      <w:rFonts w:ascii="等线 Light" w:hAnsi="等线 Light" w:eastAsia="等线 Light" w:cs="Times New Roman"/>
      <w:b w:val="0"/>
      <w:bCs w:val="0"/>
      <w:color w:val="2F5496"/>
      <w:kern w:val="0"/>
      <w:sz w:val="32"/>
      <w:szCs w:val="32"/>
    </w:rPr>
  </w:style>
  <w:style w:type="table" w:customStyle="1" w:styleId="162">
    <w:name w:val="网格型82"/>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63">
    <w:name w:val="网格型14"/>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64">
    <w:name w:val="网格型24"/>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65">
    <w:name w:val="网格型83"/>
    <w:basedOn w:val="3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66">
    <w:name w:val="修订1"/>
    <w:next w:val="167"/>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67">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68">
    <w:name w:val="修订3"/>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DB45DA-FC4C-4247-B478-43C3FC31801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84775</Words>
  <Characters>483222</Characters>
  <Lines>4026</Lines>
  <Paragraphs>1133</Paragraphs>
  <ScaleCrop>false</ScaleCrop>
  <LinksUpToDate>false</LinksUpToDate>
  <CharactersWithSpaces>566864</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2023-12-17T11:32:00Z</dcterms:created>
  <dc:creator>Li</dc:creator>
  <cp:lastModifiedBy>施国兰</cp:lastModifiedBy>
  <cp:lastPrinted>2024-06-20T01:21:36Z</cp:lastPrinted>
  <dcterms:modified xsi:type="dcterms:W3CDTF">2024-06-20T01:47:30Z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y fmtid="{D5CDD505-2E9C-101B-9397-08002B2CF9AE}" pid="3" name="ICV">
    <vt:lpwstr>EE7158949B7E45F3ACE59C7AB32FA619</vt:lpwstr>
  </property>
</Properties>
</file>