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80" w:lineRule="exact"/>
        <w:ind w:firstLine="658"/>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rPr>
        <w:t>年度省级预算执行情况</w:t>
      </w:r>
    </w:p>
    <w:p>
      <w:pPr>
        <w:keepNext w:val="0"/>
        <w:keepLines w:val="0"/>
        <w:pageBreakBefore w:val="0"/>
        <w:widowControl/>
        <w:kinsoku/>
        <w:wordWrap/>
        <w:overflowPunct/>
        <w:topLinePunct w:val="0"/>
        <w:autoSpaceDE/>
        <w:autoSpaceDN/>
        <w:bidi w:val="0"/>
        <w:adjustRightInd/>
        <w:snapToGrid/>
        <w:spacing w:line="580" w:lineRule="exact"/>
        <w:ind w:firstLine="658"/>
        <w:jc w:val="center"/>
        <w:textAlignment w:val="auto"/>
        <w:rPr>
          <w:rFonts w:hint="eastAsia" w:ascii="方正小标宋简体" w:eastAsia="方正小标宋简体"/>
          <w:sz w:val="44"/>
          <w:szCs w:val="44"/>
        </w:rPr>
      </w:pPr>
      <w:r>
        <w:rPr>
          <w:rFonts w:hint="eastAsia" w:ascii="方正小标宋简体" w:eastAsia="方正小标宋简体"/>
          <w:sz w:val="44"/>
          <w:szCs w:val="44"/>
          <w:lang w:eastAsia="zh-CN"/>
        </w:rPr>
        <w:t>兰州新区实验幼儿园</w:t>
      </w:r>
      <w:r>
        <w:rPr>
          <w:rFonts w:hint="eastAsia" w:ascii="方正小标宋简体" w:eastAsia="方正小标宋简体"/>
          <w:sz w:val="44"/>
          <w:szCs w:val="44"/>
        </w:rPr>
        <w:t>自评报告</w:t>
      </w:r>
    </w:p>
    <w:p>
      <w:pPr>
        <w:keepNext w:val="0"/>
        <w:keepLines w:val="0"/>
        <w:pageBreakBefore w:val="0"/>
        <w:widowControl/>
        <w:kinsoku/>
        <w:wordWrap/>
        <w:overflowPunct/>
        <w:topLinePunct w:val="0"/>
        <w:autoSpaceDE/>
        <w:autoSpaceDN/>
        <w:bidi w:val="0"/>
        <w:adjustRightInd/>
        <w:snapToGrid/>
        <w:spacing w:line="580" w:lineRule="exact"/>
        <w:ind w:firstLine="658"/>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snapToGrid/>
        <w:spacing w:line="560" w:lineRule="exact"/>
        <w:ind w:firstLine="66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根据《兰州新区财政局关于开展县级财政资金绩效自评和绩效监控工作的通知》文件精神，我园组织绩效考核工作小组，对全年预算资金下拨和使用情况进行了自查自评，现报告如下：</w:t>
      </w:r>
    </w:p>
    <w:p>
      <w:pPr>
        <w:keepNext w:val="0"/>
        <w:keepLines w:val="0"/>
        <w:pageBreakBefore w:val="0"/>
        <w:widowControl/>
        <w:numPr>
          <w:ilvl w:val="0"/>
          <w:numId w:val="0"/>
        </w:numPr>
        <w:kinsoku/>
        <w:wordWrap/>
        <w:overflowPunct/>
        <w:topLinePunct w:val="0"/>
        <w:autoSpaceDE/>
        <w:autoSpaceDN/>
        <w:bidi w:val="0"/>
        <w:snapToGrid/>
        <w:spacing w:line="560" w:lineRule="exact"/>
        <w:ind w:left="426" w:leftChars="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一、基本情况</w:t>
      </w:r>
      <w:r>
        <w:rPr>
          <w:rFonts w:hint="eastAsia" w:ascii="黑体" w:hAnsi="黑体" w:eastAsia="黑体" w:cs="黑体"/>
          <w:b w:val="0"/>
          <w:bCs/>
          <w:sz w:val="32"/>
          <w:szCs w:val="32"/>
        </w:rPr>
        <w:t>：</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_GB2312" w:hAnsi="楷体_GB2312" w:eastAsia="楷体_GB2312" w:cs="楷体_GB2312"/>
          <w:b w:val="0"/>
          <w:bCs/>
          <w:sz w:val="32"/>
          <w:szCs w:val="32"/>
          <w:lang w:eastAsia="zh-CN"/>
        </w:rPr>
      </w:pPr>
      <w:r>
        <w:rPr>
          <w:rFonts w:hint="eastAsia" w:ascii="楷体_GB2312" w:hAnsi="楷体_GB2312" w:eastAsia="楷体_GB2312" w:cs="楷体_GB2312"/>
          <w:b w:val="0"/>
          <w:bCs/>
          <w:sz w:val="32"/>
          <w:szCs w:val="32"/>
          <w:lang w:eastAsia="zh-CN"/>
        </w:rPr>
        <w:t>（一）</w:t>
      </w:r>
      <w:r>
        <w:rPr>
          <w:rFonts w:hint="eastAsia" w:ascii="楷体_GB2312" w:hAnsi="楷体_GB2312" w:eastAsia="楷体_GB2312" w:cs="楷体_GB2312"/>
          <w:b w:val="0"/>
          <w:bCs/>
          <w:sz w:val="32"/>
          <w:szCs w:val="32"/>
        </w:rPr>
        <w:t>部门</w:t>
      </w:r>
      <w:r>
        <w:rPr>
          <w:rFonts w:hint="eastAsia" w:ascii="楷体_GB2312" w:hAnsi="楷体_GB2312" w:eastAsia="楷体_GB2312" w:cs="楷体_GB2312"/>
          <w:b w:val="0"/>
          <w:bCs/>
          <w:sz w:val="32"/>
          <w:szCs w:val="32"/>
          <w:lang w:eastAsia="zh-CN"/>
        </w:rPr>
        <w:t>主要职能</w:t>
      </w:r>
    </w:p>
    <w:p>
      <w:pPr>
        <w:keepNext w:val="0"/>
        <w:keepLines w:val="0"/>
        <w:pageBreakBefore w:val="0"/>
        <w:widowControl/>
        <w:kinsoku/>
        <w:wordWrap/>
        <w:overflowPunct/>
        <w:topLinePunct w:val="0"/>
        <w:autoSpaceDE/>
        <w:autoSpaceDN/>
        <w:bidi w:val="0"/>
        <w:snapToGrid/>
        <w:spacing w:line="560" w:lineRule="exact"/>
        <w:ind w:right="36" w:firstLine="640" w:firstLineChars="200"/>
        <w:textAlignment w:val="auto"/>
        <w:rPr>
          <w:rFonts w:ascii="仿宋_GB2312" w:eastAsia="仿宋_GB2312"/>
          <w:sz w:val="32"/>
          <w:szCs w:val="32"/>
        </w:rPr>
      </w:pPr>
      <w:r>
        <w:rPr>
          <w:rFonts w:hint="eastAsia" w:ascii="仿宋_GB2312" w:eastAsia="仿宋_GB2312"/>
          <w:sz w:val="32"/>
          <w:szCs w:val="32"/>
        </w:rPr>
        <w:t>全面贯彻执行党和国家的各项教育方针、政策。认真贯彻执行《幼儿园工作规程》，全面加强幼儿园日常管理和教学管理提升幼儿园的教学品质</w:t>
      </w:r>
      <w:r>
        <w:rPr>
          <w:rFonts w:hint="eastAsia" w:ascii="仿宋_GB2312" w:eastAsia="仿宋_GB2312"/>
          <w:sz w:val="32"/>
          <w:szCs w:val="32"/>
          <w:lang w:eastAsia="zh-CN"/>
        </w:rPr>
        <w:t>。</w:t>
      </w:r>
      <w:r>
        <w:rPr>
          <w:rFonts w:hint="eastAsia" w:ascii="仿宋_GB2312" w:eastAsia="仿宋_GB2312"/>
          <w:sz w:val="32"/>
          <w:szCs w:val="32"/>
        </w:rPr>
        <w:t>加强学校的班子队伍建设，强化师资队伍建设，不断提高师资队伍建设。</w:t>
      </w:r>
    </w:p>
    <w:p>
      <w:pPr>
        <w:keepNext w:val="0"/>
        <w:keepLines w:val="0"/>
        <w:pageBreakBefore w:val="0"/>
        <w:widowControl/>
        <w:kinsoku/>
        <w:wordWrap/>
        <w:overflowPunct/>
        <w:topLinePunct w:val="0"/>
        <w:autoSpaceDE/>
        <w:autoSpaceDN/>
        <w:bidi w:val="0"/>
        <w:adjustRightInd w:val="0"/>
        <w:snapToGrid/>
        <w:spacing w:line="560" w:lineRule="exact"/>
        <w:ind w:left="567"/>
        <w:textAlignment w:val="auto"/>
        <w:rPr>
          <w:rFonts w:hint="eastAsia" w:ascii="楷体_GB2312" w:hAnsi="楷体_GB2312" w:eastAsia="楷体_GB2312" w:cs="楷体_GB2312"/>
          <w:b w:val="0"/>
          <w:bCs/>
          <w:sz w:val="32"/>
          <w:szCs w:val="32"/>
          <w:lang w:eastAsia="zh-CN"/>
        </w:rPr>
      </w:pPr>
      <w:r>
        <w:rPr>
          <w:rFonts w:hint="eastAsia" w:ascii="楷体_GB2312" w:hAnsi="楷体_GB2312" w:eastAsia="楷体_GB2312" w:cs="楷体_GB2312"/>
          <w:b w:val="0"/>
          <w:bCs/>
          <w:sz w:val="32"/>
          <w:szCs w:val="32"/>
          <w:lang w:eastAsia="zh-CN"/>
        </w:rPr>
        <w:t>（二）内设机构</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兰州新区实验幼儿园内设科室3个，分别为办公室、后勤处、保教室，我园为全额拨款事业单位事业编制</w:t>
      </w:r>
      <w:r>
        <w:rPr>
          <w:rFonts w:hint="eastAsia" w:ascii="仿宋_GB2312" w:eastAsia="仿宋_GB2312"/>
          <w:sz w:val="32"/>
          <w:szCs w:val="32"/>
          <w:lang w:val="en-US" w:eastAsia="zh-CN"/>
        </w:rPr>
        <w:t>47</w:t>
      </w:r>
      <w:r>
        <w:rPr>
          <w:rFonts w:hint="eastAsia" w:ascii="仿宋_GB2312" w:eastAsia="仿宋_GB2312"/>
          <w:sz w:val="32"/>
          <w:szCs w:val="32"/>
        </w:rPr>
        <w:t>名，聘用教师</w:t>
      </w:r>
      <w:r>
        <w:rPr>
          <w:rFonts w:hint="eastAsia" w:ascii="仿宋_GB2312" w:eastAsia="仿宋_GB2312"/>
          <w:sz w:val="32"/>
          <w:szCs w:val="32"/>
          <w:lang w:val="en-US" w:eastAsia="zh-CN"/>
        </w:rPr>
        <w:t>236</w:t>
      </w:r>
      <w:r>
        <w:rPr>
          <w:rFonts w:hint="eastAsia" w:ascii="仿宋_GB2312" w:eastAsia="仿宋_GB2312"/>
          <w:sz w:val="32"/>
          <w:szCs w:val="32"/>
        </w:rPr>
        <w:t>名，现有</w:t>
      </w:r>
      <w:r>
        <w:rPr>
          <w:rFonts w:hint="eastAsia" w:ascii="仿宋_GB2312" w:eastAsia="仿宋_GB2312"/>
          <w:sz w:val="32"/>
          <w:szCs w:val="32"/>
          <w:lang w:val="en-US" w:eastAsia="zh-CN"/>
        </w:rPr>
        <w:t>283</w:t>
      </w:r>
      <w:r>
        <w:rPr>
          <w:rFonts w:hint="eastAsia" w:ascii="仿宋_GB2312" w:eastAsia="仿宋_GB2312"/>
          <w:sz w:val="32"/>
          <w:szCs w:val="32"/>
        </w:rPr>
        <w:t>人。为二级单位，全额事业拨款，</w:t>
      </w:r>
      <w:r>
        <w:rPr>
          <w:rFonts w:hint="eastAsia" w:ascii="仿宋_GB2312" w:eastAsia="仿宋_GB2312"/>
          <w:sz w:val="32"/>
          <w:szCs w:val="32"/>
          <w:lang w:eastAsia="zh-CN"/>
        </w:rPr>
        <w:t>自</w:t>
      </w:r>
      <w:r>
        <w:rPr>
          <w:rFonts w:hint="eastAsia" w:ascii="仿宋_GB2312" w:eastAsia="仿宋_GB2312"/>
          <w:sz w:val="32"/>
          <w:szCs w:val="32"/>
        </w:rPr>
        <w:t>202</w:t>
      </w:r>
      <w:r>
        <w:rPr>
          <w:rFonts w:hint="eastAsia" w:ascii="仿宋_GB2312" w:eastAsia="仿宋_GB2312"/>
          <w:sz w:val="32"/>
          <w:szCs w:val="32"/>
          <w:lang w:val="en-US" w:eastAsia="zh-CN"/>
        </w:rPr>
        <w:t>0</w:t>
      </w:r>
      <w:r>
        <w:rPr>
          <w:rFonts w:hint="eastAsia" w:ascii="仿宋_GB2312" w:eastAsia="仿宋_GB2312"/>
          <w:sz w:val="32"/>
          <w:szCs w:val="32"/>
        </w:rPr>
        <w:t>年1月财务独立核算。兰州新区实验幼儿园成立以芦秀红园长为组长，各科室负责人及教师为成员的绩效评价工作组，工作组明确岗位职责和分工任务，为开展绩效评价提供了组织保障。制定绩效评价指标体系，从目标设定、预算配置、预算执行、预算管理、资产管理、责任履行、履职效益等指标进行评价。</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兰州新区实验幼儿园成立以芦秀红园长为组长，各科室负责人及教师为成员的绩效评价工作组，工作组明确岗位职责和分工任务，为开展绩效评价提供了组织保障。制定绩效评价指标体系，从目标设定、预算配置、预算执行、预算管理、资产管理、责任履行、履职效益等指标进行评价</w:t>
      </w:r>
      <w:r>
        <w:rPr>
          <w:rFonts w:hint="eastAsia" w:ascii="仿宋_GB2312" w:eastAsia="仿宋_GB2312"/>
          <w:sz w:val="32"/>
          <w:szCs w:val="32"/>
          <w:lang w:eastAsia="zh-CN"/>
        </w:rPr>
        <w:t>。</w:t>
      </w:r>
      <w:r>
        <w:rPr>
          <w:rFonts w:hint="eastAsia" w:ascii="仿宋_GB2312" w:hAnsi="仿宋_GB2312" w:eastAsia="仿宋_GB2312" w:cs="仿宋_GB2312"/>
          <w:sz w:val="32"/>
          <w:szCs w:val="32"/>
        </w:rPr>
        <w:t>按照相关要求，我单位及时更新财务管理制度，制定了信息公开制度、监督、检查和责任追究制度，定期公布经费收支情况，确保资金及时下拨支付，提高资金的使用率。</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（一）部门决算情况</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年本部门预算安排收入</w:t>
      </w:r>
      <w:r>
        <w:rPr>
          <w:rFonts w:hint="eastAsia" w:ascii="仿宋_GB2312" w:hAnsi="仿宋_GB2312" w:eastAsia="仿宋_GB2312" w:cs="仿宋_GB2312"/>
          <w:kern w:val="0"/>
          <w:sz w:val="32"/>
          <w:szCs w:val="32"/>
          <w:lang w:val="en-US" w:eastAsia="zh-CN"/>
        </w:rPr>
        <w:t>5326.53</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，中期调整预算后，</w:t>
      </w:r>
      <w:r>
        <w:rPr>
          <w:rFonts w:hint="eastAsia" w:ascii="仿宋_GB2312" w:hAnsi="仿宋_GB2312" w:eastAsia="仿宋_GB2312" w:cs="仿宋_GB2312"/>
          <w:kern w:val="0"/>
          <w:sz w:val="32"/>
          <w:szCs w:val="32"/>
        </w:rPr>
        <w:t>本年决算收入</w:t>
      </w:r>
      <w:r>
        <w:rPr>
          <w:rFonts w:hint="eastAsia" w:ascii="仿宋_GB2312" w:hAnsi="仿宋_GB2312" w:eastAsia="仿宋_GB2312" w:cs="仿宋_GB2312"/>
          <w:kern w:val="0"/>
          <w:sz w:val="32"/>
          <w:szCs w:val="32"/>
          <w:lang w:val="en-US" w:eastAsia="zh-CN"/>
        </w:rPr>
        <w:t>5566.02</w:t>
      </w:r>
      <w:r>
        <w:rPr>
          <w:rFonts w:hint="eastAsia" w:ascii="仿宋_GB2312" w:hAnsi="仿宋_GB2312" w:eastAsia="仿宋_GB2312" w:cs="仿宋_GB2312"/>
          <w:kern w:val="0"/>
          <w:sz w:val="32"/>
          <w:szCs w:val="32"/>
        </w:rPr>
        <w:t>万元，预决算收入误差为</w:t>
      </w:r>
      <w:r>
        <w:rPr>
          <w:rFonts w:hint="eastAsia" w:ascii="仿宋_GB2312" w:hAnsi="仿宋_GB2312" w:eastAsia="仿宋_GB2312" w:cs="仿宋_GB2312"/>
          <w:kern w:val="0"/>
          <w:sz w:val="32"/>
          <w:szCs w:val="32"/>
          <w:lang w:val="en-US" w:eastAsia="zh-CN"/>
        </w:rPr>
        <w:t>239.49</w:t>
      </w:r>
      <w:r>
        <w:rPr>
          <w:rFonts w:hint="eastAsia" w:ascii="仿宋_GB2312" w:hAnsi="仿宋_GB2312" w:eastAsia="仿宋_GB2312" w:cs="仿宋_GB2312"/>
          <w:kern w:val="0"/>
          <w:sz w:val="32"/>
          <w:szCs w:val="32"/>
        </w:rPr>
        <w:t>万元。其中：</w:t>
      </w:r>
      <w:r>
        <w:rPr>
          <w:rFonts w:hint="eastAsia" w:ascii="仿宋_GB2312" w:hAnsi="仿宋_GB2312" w:eastAsia="仿宋_GB2312" w:cs="仿宋_GB2312"/>
          <w:spacing w:val="6"/>
          <w:sz w:val="32"/>
          <w:szCs w:val="32"/>
        </w:rPr>
        <w:t>公共预算财政拨款收入</w:t>
      </w:r>
      <w:r>
        <w:rPr>
          <w:rFonts w:hint="eastAsia" w:ascii="仿宋_GB2312" w:hAnsi="仿宋_GB2312" w:eastAsia="仿宋_GB2312" w:cs="仿宋_GB2312"/>
          <w:kern w:val="0"/>
          <w:sz w:val="32"/>
          <w:szCs w:val="32"/>
          <w:lang w:val="en-US" w:eastAsia="zh-CN"/>
        </w:rPr>
        <w:t>5566.02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spacing w:val="6"/>
          <w:sz w:val="32"/>
          <w:szCs w:val="32"/>
        </w:rPr>
        <w:t>元，占总收入的100%。其中：学前教育</w:t>
      </w:r>
      <w:r>
        <w:rPr>
          <w:rFonts w:hint="eastAsia" w:ascii="仿宋_GB2312" w:hAnsi="仿宋_GB2312" w:eastAsia="仿宋_GB2312" w:cs="仿宋_GB2312"/>
          <w:sz w:val="32"/>
          <w:szCs w:val="32"/>
          <w:lang w:val="zh-CN"/>
        </w:rPr>
        <w:t>5222.99</w:t>
      </w:r>
      <w:r>
        <w:rPr>
          <w:rFonts w:hint="eastAsia" w:ascii="仿宋_GB2312" w:hAnsi="仿宋_GB2312" w:eastAsia="仿宋_GB2312" w:cs="仿宋_GB2312"/>
          <w:spacing w:val="6"/>
          <w:sz w:val="32"/>
          <w:szCs w:val="32"/>
        </w:rPr>
        <w:t>万元，占总收入的</w:t>
      </w:r>
      <w:r>
        <w:rPr>
          <w:rFonts w:hint="eastAsia" w:ascii="仿宋_GB2312" w:hAnsi="仿宋_GB2312" w:eastAsia="仿宋_GB2312" w:cs="仿宋_GB2312"/>
          <w:spacing w:val="6"/>
          <w:sz w:val="32"/>
          <w:szCs w:val="32"/>
          <w:lang w:val="en-US" w:eastAsia="zh-CN"/>
        </w:rPr>
        <w:t>93.84</w:t>
      </w:r>
      <w:r>
        <w:rPr>
          <w:rFonts w:hint="eastAsia" w:ascii="仿宋_GB2312" w:hAnsi="仿宋_GB2312" w:eastAsia="仿宋_GB2312" w:cs="仿宋_GB2312"/>
          <w:spacing w:val="6"/>
          <w:sz w:val="32"/>
          <w:szCs w:val="32"/>
        </w:rPr>
        <w:t>%；社会保障和就业支出</w:t>
      </w:r>
      <w:r>
        <w:rPr>
          <w:rFonts w:hint="eastAsia" w:ascii="仿宋_GB2312" w:hAnsi="仿宋_GB2312" w:eastAsia="仿宋_GB2312" w:cs="仿宋_GB2312"/>
          <w:sz w:val="32"/>
          <w:szCs w:val="32"/>
          <w:lang w:val="zh-CN"/>
        </w:rPr>
        <w:t>66.88</w:t>
      </w:r>
      <w:r>
        <w:rPr>
          <w:rFonts w:hint="eastAsia" w:ascii="仿宋_GB2312" w:hAnsi="仿宋_GB2312" w:eastAsia="仿宋_GB2312" w:cs="仿宋_GB2312"/>
          <w:spacing w:val="6"/>
          <w:sz w:val="32"/>
          <w:szCs w:val="32"/>
        </w:rPr>
        <w:t>万元，占总收入的</w:t>
      </w:r>
      <w:r>
        <w:rPr>
          <w:rFonts w:hint="eastAsia" w:ascii="仿宋_GB2312" w:hAnsi="仿宋_GB2312" w:eastAsia="仿宋_GB2312" w:cs="仿宋_GB2312"/>
          <w:spacing w:val="6"/>
          <w:sz w:val="32"/>
          <w:szCs w:val="32"/>
          <w:lang w:val="en-US" w:eastAsia="zh-CN"/>
        </w:rPr>
        <w:t>1.2</w:t>
      </w:r>
      <w:r>
        <w:rPr>
          <w:rFonts w:hint="eastAsia" w:ascii="仿宋_GB2312" w:hAnsi="仿宋_GB2312" w:eastAsia="仿宋_GB2312" w:cs="仿宋_GB2312"/>
          <w:spacing w:val="6"/>
          <w:sz w:val="32"/>
          <w:szCs w:val="32"/>
        </w:rPr>
        <w:t>%；卫生健康支出</w:t>
      </w:r>
      <w:r>
        <w:rPr>
          <w:rFonts w:hint="eastAsia" w:ascii="仿宋_GB2312" w:hAnsi="仿宋_GB2312" w:eastAsia="仿宋_GB2312" w:cs="仿宋_GB2312"/>
          <w:sz w:val="32"/>
          <w:szCs w:val="32"/>
          <w:lang w:val="zh-CN"/>
        </w:rPr>
        <w:t>54.97</w:t>
      </w:r>
      <w:r>
        <w:rPr>
          <w:rFonts w:hint="eastAsia" w:ascii="仿宋_GB2312" w:hAnsi="仿宋_GB2312" w:eastAsia="仿宋_GB2312" w:cs="仿宋_GB2312"/>
          <w:spacing w:val="6"/>
          <w:sz w:val="32"/>
          <w:szCs w:val="32"/>
        </w:rPr>
        <w:t>万元，占总收入的</w:t>
      </w:r>
      <w:r>
        <w:rPr>
          <w:rFonts w:hint="eastAsia" w:ascii="仿宋_GB2312" w:hAnsi="仿宋_GB2312" w:eastAsia="仿宋_GB2312" w:cs="仿宋_GB2312"/>
          <w:spacing w:val="6"/>
          <w:sz w:val="32"/>
          <w:szCs w:val="32"/>
          <w:lang w:val="en-US" w:eastAsia="zh-CN"/>
        </w:rPr>
        <w:t>0.99</w:t>
      </w:r>
      <w:r>
        <w:rPr>
          <w:rFonts w:hint="eastAsia" w:ascii="仿宋_GB2312" w:hAnsi="仿宋_GB2312" w:eastAsia="仿宋_GB2312" w:cs="仿宋_GB2312"/>
          <w:spacing w:val="6"/>
          <w:sz w:val="32"/>
          <w:szCs w:val="32"/>
        </w:rPr>
        <w:t>%；</w:t>
      </w:r>
      <w:r>
        <w:rPr>
          <w:rFonts w:hint="eastAsia" w:ascii="仿宋_GB2312" w:hAnsi="仿宋_GB2312" w:eastAsia="仿宋_GB2312" w:cs="仿宋_GB2312"/>
          <w:kern w:val="0"/>
          <w:sz w:val="32"/>
          <w:szCs w:val="32"/>
        </w:rPr>
        <w:t xml:space="preserve"> 住房保障支出</w:t>
      </w:r>
      <w:r>
        <w:rPr>
          <w:rFonts w:hint="eastAsia" w:ascii="仿宋_GB2312" w:hAnsi="仿宋_GB2312" w:eastAsia="仿宋_GB2312" w:cs="仿宋_GB2312"/>
          <w:sz w:val="32"/>
          <w:szCs w:val="32"/>
          <w:lang w:val="zh-CN"/>
        </w:rPr>
        <w:t>221.18</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pacing w:val="6"/>
          <w:sz w:val="32"/>
          <w:szCs w:val="32"/>
        </w:rPr>
        <w:t>占总收入的</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w:t>
      </w:r>
    </w:p>
    <w:p>
      <w:pPr>
        <w:keepNext w:val="0"/>
        <w:keepLines w:val="0"/>
        <w:pageBreakBefore w:val="0"/>
        <w:widowControl/>
        <w:kinsoku/>
        <w:wordWrap/>
        <w:overflowPunct/>
        <w:topLinePunct w:val="0"/>
        <w:autoSpaceDE/>
        <w:autoSpaceDN/>
        <w:bidi w:val="0"/>
        <w:snapToGrid/>
        <w:spacing w:line="560" w:lineRule="exact"/>
        <w:ind w:firstLine="733" w:firstLineChars="221"/>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基本支出</w:t>
      </w:r>
      <w:r>
        <w:rPr>
          <w:rFonts w:hint="eastAsia" w:ascii="仿宋_GB2312" w:hAnsi="仿宋_GB2312" w:eastAsia="仿宋_GB2312" w:cs="仿宋_GB2312"/>
          <w:spacing w:val="6"/>
          <w:sz w:val="32"/>
          <w:szCs w:val="32"/>
          <w:lang w:val="en-US" w:eastAsia="zh-CN"/>
        </w:rPr>
        <w:t>5566.02</w:t>
      </w:r>
      <w:r>
        <w:rPr>
          <w:rFonts w:hint="eastAsia" w:ascii="仿宋_GB2312" w:hAnsi="仿宋_GB2312" w:eastAsia="仿宋_GB2312" w:cs="仿宋_GB2312"/>
          <w:spacing w:val="6"/>
          <w:sz w:val="32"/>
          <w:szCs w:val="32"/>
        </w:rPr>
        <w:t>元，占总支出的100%。其中：工资福利支出</w:t>
      </w:r>
      <w:r>
        <w:rPr>
          <w:rFonts w:hint="eastAsia" w:ascii="仿宋_GB2312" w:hAnsi="仿宋_GB2312" w:eastAsia="仿宋_GB2312" w:cs="仿宋_GB2312"/>
          <w:spacing w:val="6"/>
          <w:sz w:val="32"/>
          <w:szCs w:val="32"/>
          <w:lang w:val="en-US" w:eastAsia="zh-CN"/>
        </w:rPr>
        <w:t>3011.08</w:t>
      </w:r>
      <w:r>
        <w:rPr>
          <w:rFonts w:hint="eastAsia" w:ascii="仿宋_GB2312" w:hAnsi="仿宋_GB2312" w:eastAsia="仿宋_GB2312" w:cs="仿宋_GB2312"/>
          <w:spacing w:val="6"/>
          <w:sz w:val="32"/>
          <w:szCs w:val="32"/>
        </w:rPr>
        <w:t>万元，占总支出的</w:t>
      </w:r>
      <w:r>
        <w:rPr>
          <w:rFonts w:hint="eastAsia" w:ascii="仿宋_GB2312" w:hAnsi="仿宋_GB2312" w:eastAsia="仿宋_GB2312" w:cs="仿宋_GB2312"/>
          <w:spacing w:val="6"/>
          <w:sz w:val="32"/>
          <w:szCs w:val="32"/>
          <w:lang w:val="en-US" w:eastAsia="zh-CN"/>
        </w:rPr>
        <w:t>54.1</w:t>
      </w:r>
      <w:r>
        <w:rPr>
          <w:rFonts w:hint="eastAsia" w:ascii="仿宋_GB2312" w:hAnsi="仿宋_GB2312" w:eastAsia="仿宋_GB2312" w:cs="仿宋_GB2312"/>
          <w:spacing w:val="6"/>
          <w:sz w:val="32"/>
          <w:szCs w:val="32"/>
        </w:rPr>
        <w:t>%；商品和服务支出</w:t>
      </w:r>
      <w:r>
        <w:rPr>
          <w:rFonts w:hint="eastAsia" w:ascii="仿宋_GB2312" w:hAnsi="仿宋_GB2312" w:eastAsia="仿宋_GB2312" w:cs="仿宋_GB2312"/>
          <w:spacing w:val="6"/>
          <w:sz w:val="32"/>
          <w:szCs w:val="32"/>
          <w:lang w:val="en-US" w:eastAsia="zh-CN"/>
        </w:rPr>
        <w:t>348</w:t>
      </w:r>
      <w:r>
        <w:rPr>
          <w:rFonts w:hint="eastAsia" w:ascii="仿宋_GB2312" w:hAnsi="仿宋_GB2312" w:eastAsia="仿宋_GB2312" w:cs="仿宋_GB2312"/>
          <w:spacing w:val="6"/>
          <w:sz w:val="32"/>
          <w:szCs w:val="32"/>
        </w:rPr>
        <w:t>万元，占总支出的</w:t>
      </w:r>
      <w:r>
        <w:rPr>
          <w:rFonts w:hint="eastAsia" w:ascii="仿宋_GB2312" w:hAnsi="仿宋_GB2312" w:eastAsia="仿宋_GB2312" w:cs="仿宋_GB2312"/>
          <w:spacing w:val="6"/>
          <w:sz w:val="32"/>
          <w:szCs w:val="32"/>
          <w:lang w:val="en-US" w:eastAsia="zh-CN"/>
        </w:rPr>
        <w:t>6.3</w:t>
      </w:r>
      <w:r>
        <w:rPr>
          <w:rFonts w:hint="eastAsia" w:ascii="仿宋_GB2312" w:hAnsi="仿宋_GB2312" w:eastAsia="仿宋_GB2312" w:cs="仿宋_GB2312"/>
          <w:spacing w:val="6"/>
          <w:sz w:val="32"/>
          <w:szCs w:val="32"/>
        </w:rPr>
        <w:t>%；对个人和家庭的补助支出</w:t>
      </w:r>
      <w:r>
        <w:rPr>
          <w:rFonts w:hint="eastAsia" w:ascii="仿宋_GB2312" w:hAnsi="仿宋_GB2312" w:eastAsia="仿宋_GB2312" w:cs="仿宋_GB2312"/>
          <w:spacing w:val="6"/>
          <w:sz w:val="32"/>
          <w:szCs w:val="32"/>
          <w:lang w:val="en-US" w:eastAsia="zh-CN"/>
        </w:rPr>
        <w:t>2206.94</w:t>
      </w:r>
      <w:r>
        <w:rPr>
          <w:rFonts w:hint="eastAsia" w:ascii="仿宋_GB2312" w:hAnsi="仿宋_GB2312" w:eastAsia="仿宋_GB2312" w:cs="仿宋_GB2312"/>
          <w:spacing w:val="6"/>
          <w:sz w:val="32"/>
          <w:szCs w:val="32"/>
        </w:rPr>
        <w:t>万元，占总支出的</w:t>
      </w:r>
      <w:r>
        <w:rPr>
          <w:rFonts w:hint="eastAsia" w:ascii="仿宋_GB2312" w:hAnsi="仿宋_GB2312" w:eastAsia="仿宋_GB2312" w:cs="仿宋_GB2312"/>
          <w:spacing w:val="6"/>
          <w:sz w:val="32"/>
          <w:szCs w:val="32"/>
          <w:lang w:val="en-US" w:eastAsia="zh-CN"/>
        </w:rPr>
        <w:t>39.65</w:t>
      </w:r>
      <w:r>
        <w:rPr>
          <w:rFonts w:hint="eastAsia" w:ascii="仿宋_GB2312" w:hAnsi="仿宋_GB2312" w:eastAsia="仿宋_GB2312" w:cs="仿宋_GB2312"/>
          <w:spacing w:val="6"/>
          <w:sz w:val="32"/>
          <w:szCs w:val="32"/>
        </w:rPr>
        <w:t>%；</w:t>
      </w:r>
    </w:p>
    <w:p>
      <w:pPr>
        <w:keepNext w:val="0"/>
        <w:keepLines w:val="0"/>
        <w:pageBreakBefore w:val="0"/>
        <w:widowControl/>
        <w:kinsoku/>
        <w:wordWrap/>
        <w:overflowPunct/>
        <w:topLinePunct w:val="0"/>
        <w:autoSpaceDE/>
        <w:autoSpaceDN/>
        <w:bidi w:val="0"/>
        <w:snapToGrid/>
        <w:spacing w:line="560" w:lineRule="exact"/>
        <w:ind w:firstLine="733" w:firstLineChars="221"/>
        <w:textAlignment w:val="auto"/>
        <w:rPr>
          <w:rFonts w:hint="eastAsia" w:ascii="楷体_GB2312" w:hAnsi="楷体_GB2312" w:eastAsia="楷体_GB2312" w:cs="楷体_GB2312"/>
          <w:spacing w:val="6"/>
          <w:sz w:val="32"/>
          <w:szCs w:val="32"/>
          <w:lang w:eastAsia="zh-CN"/>
        </w:rPr>
      </w:pPr>
      <w:r>
        <w:rPr>
          <w:rFonts w:hint="eastAsia" w:ascii="楷体_GB2312" w:hAnsi="楷体_GB2312" w:eastAsia="楷体_GB2312" w:cs="楷体_GB2312"/>
          <w:spacing w:val="6"/>
          <w:sz w:val="32"/>
          <w:szCs w:val="32"/>
          <w:lang w:eastAsia="zh-CN"/>
        </w:rPr>
        <w:t>（二）总体绩效目标完成情况分析</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在项目资金的使用上，严格落实事前、事中和事后监督， 科学合理安排资金，确保了各项工作顺利开展。对项目资金使用幼儿园严格执行预算，指标申报及时，正确使用资金且支付率和资金使用率高，基本运转和学校发展得到有效保障。严格执行专项资金管理使用规定、资金专款专用效益高，能切实保障工作的正常运转和兼顾幼儿园发展的基本需要。</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（三）各项指标完成情况分析</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绩效指标</w:t>
      </w:r>
      <w:r>
        <w:rPr>
          <w:rFonts w:hint="eastAsia" w:ascii="仿宋_GB2312" w:hAnsi="仿宋_GB2312" w:eastAsia="仿宋_GB2312" w:cs="仿宋_GB2312"/>
          <w:sz w:val="32"/>
          <w:szCs w:val="32"/>
        </w:rPr>
        <w:t>实施中，园领导的带领下各级有关部门的共同努力下，我园上下齐心，全面完成了年初绩效工作目标。</w:t>
      </w:r>
      <w:r>
        <w:rPr>
          <w:rFonts w:hint="eastAsia" w:ascii="仿宋_GB2312" w:hAnsi="仿宋_GB2312" w:eastAsia="仿宋_GB2312" w:cs="仿宋_GB2312"/>
          <w:sz w:val="32"/>
          <w:szCs w:val="32"/>
          <w:lang w:eastAsia="zh-CN"/>
        </w:rPr>
        <w:t>财务小组</w:t>
      </w:r>
      <w:r>
        <w:rPr>
          <w:rFonts w:hint="eastAsia" w:ascii="仿宋_GB2312" w:hAnsi="仿宋_GB2312" w:eastAsia="仿宋_GB2312" w:cs="仿宋_GB2312"/>
          <w:sz w:val="32"/>
          <w:szCs w:val="32"/>
        </w:rPr>
        <w:t>严格《合同管理制度》、《</w:t>
      </w:r>
      <w:r>
        <w:rPr>
          <w:rFonts w:hint="eastAsia" w:ascii="仿宋_GB2312" w:hAnsi="仿宋_GB2312" w:eastAsia="仿宋_GB2312" w:cs="仿宋_GB2312"/>
          <w:sz w:val="32"/>
          <w:szCs w:val="32"/>
          <w:lang w:eastAsia="zh-CN"/>
        </w:rPr>
        <w:t>财务管理制度</w:t>
      </w:r>
      <w:r>
        <w:rPr>
          <w:rFonts w:hint="eastAsia" w:ascii="仿宋_GB2312" w:hAnsi="仿宋_GB2312" w:eastAsia="仿宋_GB2312" w:cs="仿宋_GB2312"/>
          <w:sz w:val="32"/>
          <w:szCs w:val="32"/>
        </w:rPr>
        <w:t>》等规定，办理了政府采购单，签订了合同，严格按照项目完成情况支付款项，不存在拖欠、截留的情况。招标资料整理规范.保存完整。幼儿园制定了经费管理办法，制定了比较完善的经费支出内控制度，明确经费支出审批流程和权限，职责明确并能有效落实责任追究制度。严格公务接待费、差旅费、会议费和培训费审核审批程序，没有公务用车，教师都是私车公用从无报销，实行限额把关、一支笔审批制度，做到大事事一公函、一事一审批、一事一结账，会议费和培训费严格按年初计划和制度规定的标准执行。各项费用严格履行“一单五签”程序，“三公”经费支出为0.00元。</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2.人员管理制度健全，人员编制情况属于新区地方政策，幼儿园聘用教师居多，</w:t>
      </w:r>
      <w:r>
        <w:rPr>
          <w:rFonts w:hint="eastAsia" w:ascii="仿宋_GB2312" w:hAnsi="仿宋_GB2312" w:eastAsia="仿宋_GB2312" w:cs="仿宋_GB2312"/>
          <w:color w:val="000000" w:themeColor="text1"/>
          <w:sz w:val="32"/>
          <w:szCs w:val="32"/>
          <w:lang w:val="en-US" w:eastAsia="zh-CN"/>
        </w:rPr>
        <w:t>教师是立教之本，兴教之源，要充分发挥好青年教师在师德传承中的重要作用。本学年，幼儿园以</w:t>
      </w:r>
      <w:r>
        <w:rPr>
          <w:rFonts w:hint="eastAsia" w:ascii="仿宋_GB2312" w:hAnsi="仿宋_GB2312" w:eastAsia="仿宋_GB2312" w:cs="仿宋_GB2312"/>
          <w:color w:val="000000" w:themeColor="text1"/>
          <w:kern w:val="2"/>
          <w:sz w:val="32"/>
          <w:szCs w:val="32"/>
          <w:lang w:val="en-US" w:eastAsia="zh-CN" w:bidi="ar-SA"/>
        </w:rPr>
        <w:t>加强师德师风建设为着力点，培育教师教育情怀和职业操守，力求建设一支团结向上的教师团队。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sz w:val="32"/>
          <w:szCs w:val="32"/>
          <w:lang w:val="en-US" w:eastAsia="zh-CN"/>
        </w:rPr>
        <w:t>3.本级预算公用经费加之上级本门拨付的专项资金，</w:t>
      </w:r>
      <w:r>
        <w:rPr>
          <w:rFonts w:hint="eastAsia" w:ascii="仿宋_GB2312" w:hAnsi="仿宋_GB2312" w:eastAsia="仿宋_GB2312" w:cs="仿宋_GB2312"/>
          <w:sz w:val="32"/>
          <w:szCs w:val="32"/>
        </w:rPr>
        <w:t>购买教学设备以及校园内的改造维修，提升了教学环境，教学设施更加优化。幼儿园不忘初心，牢记使命，坚持以立德树人为根本任务，</w:t>
      </w:r>
      <w:r>
        <w:rPr>
          <w:rFonts w:hint="eastAsia" w:ascii="仿宋_GB2312" w:hAnsi="仿宋_GB2312" w:eastAsia="仿宋_GB2312" w:cs="仿宋_GB2312"/>
          <w:color w:val="000000" w:themeColor="text1"/>
          <w:sz w:val="32"/>
          <w:szCs w:val="32"/>
          <w:lang w:val="en-US" w:eastAsia="zh-CN"/>
        </w:rPr>
        <w:t>幼儿园</w:t>
      </w:r>
      <w:r>
        <w:rPr>
          <w:rFonts w:hint="eastAsia" w:ascii="仿宋_GB2312" w:hAnsi="仿宋_GB2312" w:eastAsia="仿宋_GB2312" w:cs="仿宋_GB2312"/>
          <w:color w:val="000000" w:themeColor="text1"/>
          <w:sz w:val="32"/>
          <w:szCs w:val="32"/>
          <w:lang w:eastAsia="zh-CN"/>
        </w:rPr>
        <w:t>自</w:t>
      </w:r>
      <w:r>
        <w:rPr>
          <w:rFonts w:hint="eastAsia" w:ascii="仿宋_GB2312" w:hAnsi="仿宋_GB2312" w:eastAsia="仿宋_GB2312" w:cs="仿宋_GB2312"/>
          <w:color w:val="000000" w:themeColor="text1"/>
          <w:sz w:val="32"/>
          <w:szCs w:val="32"/>
          <w:lang w:val="en-US" w:eastAsia="zh-CN"/>
        </w:rPr>
        <w:t>2022年9月起进行锄禾园场地改造，在改造过程中，就场地的可操作性、空间设置、以及外观设计，多次组织教师交流研讨和亲身实践，分析研判改造场地的实效性、适用性。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幼儿园室内环境改造以生活体验区为主，在保留原有区域的基础上，改造、升级、重组，组织教师分年级、分班级开展了为期一个月的研讨交流，以手作坊、杂物社、面工坊、物流区四个部分呈现，打造出“实小幼智趣小镇”，不同年龄段的幼儿可以根据自己的喜好选择不同的区域，以大带小，优势互补。孩子们在这里可以共商活动内容，共用活动材料，体验小镇生活。在安吉游戏精神的引领下，全园教师从理解游戏精神、改变游戏环境、转变教师角色等多角度入手，推进安吉游戏精神本土化实践的方式、路径。</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4.资产管理进一步落实，自2020年我园财务独立后有了自己的固定资产账户，财务人员进行了资产清查和录入。</w:t>
      </w:r>
    </w:p>
    <w:p>
      <w:pPr>
        <w:keepNext w:val="0"/>
        <w:keepLines w:val="0"/>
        <w:pageBreakBefore w:val="0"/>
        <w:widowControl/>
        <w:kinsoku/>
        <w:wordWrap/>
        <w:overflowPunct/>
        <w:topLinePunct w:val="0"/>
        <w:autoSpaceDE/>
        <w:autoSpaceDN/>
        <w:bidi w:val="0"/>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5.教学质量稳步提升，</w:t>
      </w:r>
      <w:r>
        <w:rPr>
          <w:rFonts w:hint="eastAsia" w:ascii="仿宋_GB2312" w:hAnsi="仿宋_GB2312" w:eastAsia="仿宋_GB2312" w:cs="仿宋_GB2312"/>
          <w:sz w:val="32"/>
          <w:szCs w:val="32"/>
        </w:rPr>
        <w:t>社会声誉</w:t>
      </w:r>
      <w:r>
        <w:rPr>
          <w:rFonts w:hint="eastAsia" w:ascii="仿宋_GB2312" w:hAnsi="仿宋_GB2312" w:eastAsia="仿宋_GB2312" w:cs="仿宋_GB2312"/>
          <w:sz w:val="32"/>
          <w:szCs w:val="32"/>
          <w:lang w:eastAsia="zh-CN"/>
        </w:rPr>
        <w:t>不断提高</w:t>
      </w:r>
      <w:r>
        <w:rPr>
          <w:rFonts w:hint="eastAsia" w:ascii="仿宋_GB2312" w:hAnsi="仿宋_GB2312" w:eastAsia="仿宋_GB2312" w:cs="仿宋_GB2312"/>
          <w:sz w:val="32"/>
          <w:szCs w:val="32"/>
        </w:rPr>
        <w:t>，引领示范辐射作用更加突出。</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rPr>
      </w:pPr>
      <w:r>
        <w:rPr>
          <w:rFonts w:hint="eastAsia" w:ascii="黑体" w:eastAsia="黑体"/>
          <w:sz w:val="32"/>
          <w:szCs w:val="32"/>
          <w:lang w:eastAsia="zh-CN"/>
        </w:rPr>
        <w:t>三</w:t>
      </w:r>
      <w:r>
        <w:rPr>
          <w:rFonts w:hint="eastAsia" w:ascii="黑体" w:eastAsia="黑体"/>
          <w:sz w:val="32"/>
          <w:szCs w:val="32"/>
        </w:rPr>
        <w:t>、</w:t>
      </w:r>
      <w:r>
        <w:rPr>
          <w:rFonts w:hint="eastAsia" w:ascii="黑体" w:hAnsi="黑体" w:eastAsia="黑体" w:cs="黑体"/>
          <w:sz w:val="32"/>
          <w:szCs w:val="32"/>
        </w:rPr>
        <w:t>绩效自评结果拟应用和公开情况</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_GB2312" w:eastAsia="仿宋_GB2312"/>
          <w:color w:val="000000"/>
          <w:sz w:val="32"/>
          <w:szCs w:val="32"/>
          <w:lang w:eastAsia="zh-CN"/>
        </w:rPr>
      </w:pPr>
      <w:r>
        <w:rPr>
          <w:rFonts w:hint="eastAsia" w:ascii="仿宋_GB2312" w:hAnsi="仿宋_GB2312" w:eastAsia="仿宋_GB2312" w:cs="仿宋_GB2312"/>
          <w:sz w:val="32"/>
          <w:szCs w:val="32"/>
        </w:rPr>
        <w:t>根据202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年预算绩效</w:t>
      </w:r>
      <w:r>
        <w:rPr>
          <w:rFonts w:hint="eastAsia" w:ascii="仿宋_GB2312" w:eastAsia="仿宋_GB2312"/>
          <w:sz w:val="32"/>
          <w:szCs w:val="32"/>
        </w:rPr>
        <w:t>评价的相关规定，积极完善预算绩效评价指标体系，本着客观、公正、实事求是的原则，认真对照考核内容及标准，进行了逐</w:t>
      </w:r>
      <w:r>
        <w:rPr>
          <w:rFonts w:hint="eastAsia" w:ascii="仿宋_GB2312" w:eastAsia="仿宋_GB2312"/>
          <w:color w:val="000000"/>
          <w:sz w:val="32"/>
          <w:szCs w:val="32"/>
        </w:rPr>
        <w:t>一自查，认为在本次考核期间和范围内，部门预算整体支出绩效自评得分</w:t>
      </w:r>
      <w:r>
        <w:rPr>
          <w:rFonts w:hint="eastAsia" w:ascii="仿宋_GB2312" w:eastAsia="仿宋_GB2312"/>
          <w:color w:val="000000"/>
          <w:sz w:val="32"/>
          <w:szCs w:val="32"/>
          <w:lang w:val="en-US" w:eastAsia="zh-CN"/>
        </w:rPr>
        <w:t>97</w:t>
      </w:r>
      <w:r>
        <w:rPr>
          <w:rFonts w:hint="eastAsia" w:ascii="仿宋_GB2312" w:eastAsia="仿宋_GB2312"/>
          <w:color w:val="000000"/>
          <w:sz w:val="32"/>
          <w:szCs w:val="32"/>
        </w:rPr>
        <w:t>分（详见附表）</w:t>
      </w:r>
      <w:r>
        <w:rPr>
          <w:rFonts w:hint="eastAsia" w:ascii="仿宋_GB2312" w:eastAsia="仿宋_GB2312"/>
          <w:color w:val="000000"/>
          <w:sz w:val="32"/>
          <w:szCs w:val="32"/>
          <w:lang w:eastAsia="zh-CN"/>
        </w:rPr>
        <w:t>。本年度绩效目标自评报告将会公布于幼儿园官网上。</w:t>
      </w:r>
    </w:p>
    <w:p>
      <w:pPr>
        <w:keepNext w:val="0"/>
        <w:keepLines w:val="0"/>
        <w:pageBreakBefore w:val="0"/>
        <w:widowControl/>
        <w:kinsoku/>
        <w:wordWrap/>
        <w:overflowPunct/>
        <w:topLinePunct w:val="0"/>
        <w:autoSpaceDE/>
        <w:autoSpaceDN/>
        <w:bidi w:val="0"/>
        <w:snapToGrid/>
        <w:spacing w:line="560" w:lineRule="exact"/>
        <w:ind w:firstLine="5120" w:firstLineChars="1600"/>
        <w:textAlignment w:val="auto"/>
        <w:rPr>
          <w:rFonts w:hint="eastAsia" w:ascii="仿宋_GB2312" w:eastAsia="仿宋_GB2312"/>
          <w:sz w:val="32"/>
          <w:szCs w:val="32"/>
          <w:lang w:eastAsia="zh-CN"/>
        </w:rPr>
      </w:pPr>
    </w:p>
    <w:p>
      <w:pPr>
        <w:keepNext w:val="0"/>
        <w:keepLines w:val="0"/>
        <w:pageBreakBefore w:val="0"/>
        <w:widowControl/>
        <w:kinsoku/>
        <w:wordWrap/>
        <w:overflowPunct/>
        <w:topLinePunct w:val="0"/>
        <w:autoSpaceDE/>
        <w:autoSpaceDN/>
        <w:bidi w:val="0"/>
        <w:snapToGrid/>
        <w:spacing w:line="560" w:lineRule="exact"/>
        <w:ind w:firstLine="5440" w:firstLineChars="1700"/>
        <w:textAlignment w:val="auto"/>
        <w:rPr>
          <w:rFonts w:hint="eastAsia" w:ascii="仿宋_GB2312" w:eastAsia="仿宋_GB2312"/>
          <w:sz w:val="32"/>
          <w:szCs w:val="32"/>
          <w:lang w:eastAsia="zh-CN"/>
        </w:rPr>
      </w:pPr>
      <w:r>
        <w:rPr>
          <w:rFonts w:hint="eastAsia" w:ascii="仿宋_GB2312" w:eastAsia="仿宋_GB2312"/>
          <w:sz w:val="32"/>
          <w:szCs w:val="32"/>
          <w:lang w:eastAsia="zh-CN"/>
        </w:rPr>
        <w:t>兰州新区实验幼儿园</w:t>
      </w:r>
    </w:p>
    <w:p>
      <w:pPr>
        <w:keepNext w:val="0"/>
        <w:keepLines w:val="0"/>
        <w:pageBreakBefore w:val="0"/>
        <w:widowControl/>
        <w:kinsoku/>
        <w:wordWrap/>
        <w:overflowPunct/>
        <w:topLinePunct w:val="0"/>
        <w:autoSpaceDE/>
        <w:autoSpaceDN/>
        <w:bidi w:val="0"/>
        <w:snapToGrid/>
        <w:spacing w:line="560" w:lineRule="exact"/>
        <w:ind w:firstLine="5760" w:firstLineChars="1800"/>
        <w:textAlignment w:val="auto"/>
        <w:rPr>
          <w:rFonts w:ascii="仿宋_GB2312" w:eastAsia="仿宋_GB2312"/>
          <w:sz w:val="32"/>
          <w:szCs w:val="32"/>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bookmarkStart w:id="0" w:name="_GoBack"/>
      <w:bookmarkEnd w:id="0"/>
      <w:r>
        <w:rPr>
          <w:rFonts w:hint="eastAsia" w:ascii="仿宋_GB2312" w:eastAsia="仿宋_GB2312"/>
          <w:sz w:val="32"/>
          <w:szCs w:val="32"/>
        </w:rPr>
        <w:t>日</w:t>
      </w:r>
    </w:p>
    <w:sectPr>
      <w:pgSz w:w="11906" w:h="16838"/>
      <w:pgMar w:top="1587" w:right="1417" w:bottom="1474" w:left="1531"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176148-DDE8-4E29-9352-B299B4B68FF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1ADC7225-D3ED-428C-8A9B-83C8AD243CAE}"/>
  </w:font>
  <w:font w:name="方正小标宋简体">
    <w:panose1 w:val="02000000000000000000"/>
    <w:charset w:val="86"/>
    <w:family w:val="script"/>
    <w:pitch w:val="default"/>
    <w:sig w:usb0="00000001" w:usb1="08000000" w:usb2="00000000" w:usb3="00000000" w:csb0="00040000" w:csb1="00000000"/>
    <w:embedRegular r:id="rId3" w:fontKey="{17EE16A5-569A-4E43-AB38-FD4A1A340DC1}"/>
  </w:font>
  <w:font w:name="楷体_GB2312">
    <w:altName w:val="楷体"/>
    <w:panose1 w:val="02010609030101010101"/>
    <w:charset w:val="86"/>
    <w:family w:val="auto"/>
    <w:pitch w:val="default"/>
    <w:sig w:usb0="00000000" w:usb1="00000000" w:usb2="00000000" w:usb3="00000000" w:csb0="00040000" w:csb1="00000000"/>
    <w:embedRegular r:id="rId4" w:fontKey="{F1017243-F24E-4734-855D-06904734137C}"/>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1"/>
  </w:compat>
  <w:docVars>
    <w:docVar w:name="commondata" w:val="eyJoZGlkIjoiN2EwYjA2ZjJlNmQ1ZjI4NWI1NjE2NGRkZDEyY2RlMTYifQ=="/>
  </w:docVars>
  <w:rsids>
    <w:rsidRoot w:val="00A777F9"/>
    <w:rsid w:val="00014E0A"/>
    <w:rsid w:val="000B1BEF"/>
    <w:rsid w:val="000D6D48"/>
    <w:rsid w:val="001F1CF5"/>
    <w:rsid w:val="003E5043"/>
    <w:rsid w:val="004053E2"/>
    <w:rsid w:val="00436F29"/>
    <w:rsid w:val="00446E93"/>
    <w:rsid w:val="00652855"/>
    <w:rsid w:val="00745B65"/>
    <w:rsid w:val="007955A1"/>
    <w:rsid w:val="007C11AE"/>
    <w:rsid w:val="0085124A"/>
    <w:rsid w:val="00866C17"/>
    <w:rsid w:val="008C0519"/>
    <w:rsid w:val="009A5797"/>
    <w:rsid w:val="009F1AE8"/>
    <w:rsid w:val="00A435B8"/>
    <w:rsid w:val="00A74956"/>
    <w:rsid w:val="00A777F9"/>
    <w:rsid w:val="00A92772"/>
    <w:rsid w:val="00C960DB"/>
    <w:rsid w:val="00E85D12"/>
    <w:rsid w:val="00F90509"/>
    <w:rsid w:val="00FD7C97"/>
    <w:rsid w:val="05633E6C"/>
    <w:rsid w:val="059C0720"/>
    <w:rsid w:val="06716ED7"/>
    <w:rsid w:val="079B5E08"/>
    <w:rsid w:val="0D544618"/>
    <w:rsid w:val="10891062"/>
    <w:rsid w:val="15FB0A64"/>
    <w:rsid w:val="17850544"/>
    <w:rsid w:val="1B552881"/>
    <w:rsid w:val="1B787E75"/>
    <w:rsid w:val="222175E4"/>
    <w:rsid w:val="22A513A0"/>
    <w:rsid w:val="24F27A20"/>
    <w:rsid w:val="25D2213E"/>
    <w:rsid w:val="28AD2AF8"/>
    <w:rsid w:val="28B54C40"/>
    <w:rsid w:val="29CF21BF"/>
    <w:rsid w:val="2A7A2B62"/>
    <w:rsid w:val="2ED87628"/>
    <w:rsid w:val="30A3526E"/>
    <w:rsid w:val="32A95A46"/>
    <w:rsid w:val="34CE2A39"/>
    <w:rsid w:val="3603042F"/>
    <w:rsid w:val="3EE91550"/>
    <w:rsid w:val="40230EAE"/>
    <w:rsid w:val="41026908"/>
    <w:rsid w:val="46240284"/>
    <w:rsid w:val="47551673"/>
    <w:rsid w:val="4B0D4F88"/>
    <w:rsid w:val="50F17A50"/>
    <w:rsid w:val="51C3442F"/>
    <w:rsid w:val="5D3F3070"/>
    <w:rsid w:val="611F5EEC"/>
    <w:rsid w:val="64FF381B"/>
    <w:rsid w:val="660E3F54"/>
    <w:rsid w:val="692771BC"/>
    <w:rsid w:val="6A803833"/>
    <w:rsid w:val="6B532728"/>
    <w:rsid w:val="6C16410E"/>
    <w:rsid w:val="6C4F5B9B"/>
    <w:rsid w:val="6C845FED"/>
    <w:rsid w:val="71BF2A97"/>
    <w:rsid w:val="74322E72"/>
    <w:rsid w:val="77B434FD"/>
    <w:rsid w:val="78472A15"/>
    <w:rsid w:val="7BB94C33"/>
    <w:rsid w:val="7C6870B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4"/>
      <w:szCs w:val="24"/>
      <w:lang w:val="en-US" w:eastAsia="zh-CN" w:bidi="ar-SA"/>
    </w:rPr>
  </w:style>
  <w:style w:type="paragraph" w:styleId="2">
    <w:name w:val="heading 2"/>
    <w:basedOn w:val="1"/>
    <w:next w:val="1"/>
    <w:link w:val="10"/>
    <w:qFormat/>
    <w:uiPriority w:val="9"/>
    <w:pPr>
      <w:widowControl w:val="0"/>
      <w:jc w:val="both"/>
      <w:outlineLvl w:val="1"/>
    </w:pPr>
    <w:rPr>
      <w:rFonts w:ascii="宋体" w:hAnsi="宋体" w:cs="宋体"/>
      <w:b/>
      <w:bCs/>
      <w:kern w:val="0"/>
      <w:sz w:val="36"/>
      <w:szCs w:val="36"/>
    </w:rPr>
  </w:style>
  <w:style w:type="paragraph" w:styleId="3">
    <w:name w:val="heading 3"/>
    <w:basedOn w:val="1"/>
    <w:next w:val="1"/>
    <w:link w:val="11"/>
    <w:qFormat/>
    <w:uiPriority w:val="9"/>
    <w:pPr>
      <w:widowControl w:val="0"/>
      <w:jc w:val="both"/>
      <w:outlineLvl w:val="2"/>
    </w:pPr>
    <w:rPr>
      <w:rFonts w:ascii="宋体" w:hAnsi="宋体" w:cs="宋体"/>
      <w:b/>
      <w:bCs/>
      <w:kern w:val="0"/>
      <w:sz w:val="27"/>
      <w:szCs w:val="27"/>
    </w:rPr>
  </w:style>
  <w:style w:type="paragraph" w:styleId="4">
    <w:name w:val="heading 4"/>
    <w:basedOn w:val="1"/>
    <w:next w:val="1"/>
    <w:link w:val="12"/>
    <w:qFormat/>
    <w:uiPriority w:val="9"/>
    <w:pPr>
      <w:widowControl w:val="0"/>
      <w:jc w:val="both"/>
      <w:outlineLvl w:val="3"/>
    </w:pPr>
    <w:rPr>
      <w:rFonts w:ascii="宋体" w:hAnsi="宋体" w:cs="宋体"/>
      <w:b/>
      <w:bCs/>
      <w:kern w:val="0"/>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semiHidden/>
    <w:unhideWhenUsed/>
    <w:qFormat/>
    <w:uiPriority w:val="99"/>
    <w:pPr>
      <w:widowControl w:val="0"/>
      <w:tabs>
        <w:tab w:val="center" w:pos="4153"/>
        <w:tab w:val="right" w:pos="8306"/>
      </w:tabs>
      <w:snapToGrid w:val="0"/>
      <w:spacing w:line="240" w:lineRule="atLeast"/>
      <w:jc w:val="both"/>
    </w:pPr>
    <w:rPr>
      <w:rFonts w:ascii="宋体" w:hAnsi="宋体" w:cs="宋体"/>
      <w:sz w:val="18"/>
      <w:szCs w:val="18"/>
    </w:rPr>
  </w:style>
  <w:style w:type="paragraph" w:styleId="6">
    <w:name w:val="header"/>
    <w:basedOn w:val="1"/>
    <w:link w:val="13"/>
    <w:semiHidden/>
    <w:unhideWhenUsed/>
    <w:qFormat/>
    <w:uiPriority w:val="99"/>
    <w:pPr>
      <w:widowControl w:val="0"/>
      <w:pBdr>
        <w:bottom w:val="single" w:color="auto" w:sz="6" w:space="1"/>
      </w:pBdr>
      <w:tabs>
        <w:tab w:val="center" w:pos="4153"/>
        <w:tab w:val="right" w:pos="8306"/>
      </w:tabs>
      <w:snapToGrid w:val="0"/>
      <w:spacing w:line="240" w:lineRule="atLeast"/>
      <w:jc w:val="center"/>
    </w:pPr>
    <w:rPr>
      <w:rFonts w:ascii="宋体" w:hAnsi="宋体" w:cs="宋体"/>
      <w:sz w:val="18"/>
      <w:szCs w:val="18"/>
    </w:rPr>
  </w:style>
  <w:style w:type="character" w:styleId="9">
    <w:name w:val="Strong"/>
    <w:basedOn w:val="8"/>
    <w:qFormat/>
    <w:uiPriority w:val="22"/>
    <w:rPr>
      <w:b/>
      <w:bCs/>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标题 3 Char"/>
    <w:basedOn w:val="8"/>
    <w:link w:val="3"/>
    <w:qFormat/>
    <w:uiPriority w:val="9"/>
    <w:rPr>
      <w:rFonts w:ascii="宋体" w:hAnsi="宋体" w:eastAsia="宋体" w:cs="宋体"/>
      <w:b/>
      <w:bCs/>
      <w:kern w:val="0"/>
      <w:sz w:val="27"/>
      <w:szCs w:val="27"/>
    </w:rPr>
  </w:style>
  <w:style w:type="character" w:customStyle="1" w:styleId="12">
    <w:name w:val="标题 4 Char"/>
    <w:basedOn w:val="8"/>
    <w:link w:val="4"/>
    <w:qFormat/>
    <w:uiPriority w:val="9"/>
    <w:rPr>
      <w:rFonts w:ascii="宋体" w:hAnsi="宋体" w:eastAsia="宋体" w:cs="宋体"/>
      <w:b/>
      <w:bCs/>
      <w:kern w:val="0"/>
      <w:sz w:val="24"/>
      <w:szCs w:val="24"/>
    </w:rPr>
  </w:style>
  <w:style w:type="character" w:customStyle="1" w:styleId="13">
    <w:name w:val="页眉 Char"/>
    <w:basedOn w:val="8"/>
    <w:link w:val="6"/>
    <w:semiHidden/>
    <w:qFormat/>
    <w:uiPriority w:val="99"/>
    <w:rPr>
      <w:sz w:val="18"/>
      <w:szCs w:val="18"/>
    </w:rPr>
  </w:style>
  <w:style w:type="character" w:customStyle="1" w:styleId="14">
    <w:name w:val="页脚 Char"/>
    <w:basedOn w:val="8"/>
    <w:link w:val="5"/>
    <w:semiHidden/>
    <w:qFormat/>
    <w:uiPriority w:val="99"/>
    <w:rPr>
      <w:sz w:val="18"/>
      <w:szCs w:val="18"/>
    </w:rPr>
  </w:style>
  <w:style w:type="paragraph" w:customStyle="1" w:styleId="15">
    <w:name w:val="样式1"/>
    <w:basedOn w:val="1"/>
    <w:qFormat/>
    <w:uiPriority w:val="0"/>
    <w:pPr>
      <w:widowControl w:val="0"/>
      <w:jc w:val="both"/>
    </w:pPr>
    <w:rPr>
      <w:rFonts w:eastAsia="仿宋_GB2312" w:cstheme="minorBidi"/>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GKO8</Manager>
  <Company>GKO8</Company>
  <Pages>4</Pages>
  <Words>1848</Words>
  <Characters>1974</Characters>
  <Lines>1</Lines>
  <Paragraphs>4</Paragraphs>
  <TotalTime>7</TotalTime>
  <ScaleCrop>false</ScaleCrop>
  <LinksUpToDate>false</LinksUpToDate>
  <CharactersWithSpaces>1981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GKO8</cp:category>
  <dcterms:created xsi:type="dcterms:W3CDTF">2021-03-05T03:32:00Z</dcterms:created>
  <dc:creator>GKO8</dc:creator>
  <dc:description>GKO8</dc:description>
  <cp:keywords>GKO8</cp:keywords>
  <cp:lastModifiedBy>天空之城</cp:lastModifiedBy>
  <cp:lastPrinted>2021-03-11T02:35:00Z</cp:lastPrinted>
  <dcterms:modified xsi:type="dcterms:W3CDTF">2023-09-18T22:59:55Z</dcterms:modified>
  <dc:subject>GKO8</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8F4AFFCA4EF94D6982F4CB99E272C983</vt:lpwstr>
  </property>
</Properties>
</file>